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jc w:val="center"/>
      </w:pPr>
      <w:r>
        <w:rPr>
          <w:b/>
          <w:bCs/>
          <w:color w:val="1F3864"/>
          <w:sz w:val="52"/>
          <w:szCs w:val="52"/>
        </w:rPr>
        <w:t xml:space="preserve">Migration Design Document</w:t>
      </w:r>
    </w:p>
    <w:p>
      <w:pPr>
        <w:spacing w:after="100" w:before="200"/>
        <w:jc w:val="center"/>
      </w:pPr>
      <w:r>
        <w:rPr>
          <w:b/>
          <w:bCs/>
          <w:color w:val="2E74B5"/>
          <w:sz w:val="26"/>
          <w:szCs w:val="26"/>
        </w:rPr>
        <w:t xml:space="preserve">Power BI Report Migration: Local Standalone Datasets → SharePoint / ADF / Databricks / Microsoft Fabric</w:t>
      </w:r>
    </w:p>
    <w:p>
      <w:pPr>
        <w:spacing w:before="600"/>
        <w:jc w:val="center"/>
      </w:pPr>
      <w:r>
        <w:rPr>
          <w:i/>
          <w:iCs/>
          <w:color w:val="555555"/>
          <w:sz w:val="22"/>
          <w:szCs w:val="22"/>
        </w:rPr>
        <w:t xml:space="preserve">[Placeholder: Project / Report Name]</w:t>
      </w:r>
    </w:p>
    <w:p>
      <w:pPr>
        <w:spacing w:before="800"/>
        <w:jc w:val="center"/>
      </w:pPr>
      <w:r>
        <w:rPr>
          <w:color w:val="555555"/>
          <w:sz w:val="20"/>
          <w:szCs w:val="20"/>
        </w:rPr>
        <w:t xml:space="preserve">Document Owner: [Placeholder Name]</w:t>
      </w:r>
    </w:p>
    <w:p>
      <w:pPr>
        <w:spacing w:before="100"/>
        <w:jc w:val="center"/>
      </w:pPr>
      <w:r>
        <w:rPr>
          <w:color w:val="555555"/>
          <w:sz w:val="20"/>
          <w:szCs w:val="20"/>
        </w:rPr>
        <w:t xml:space="preserve">Team: Data Engineering</w:t>
      </w:r>
    </w:p>
    <w:p>
      <w:pPr>
        <w:spacing w:before="100"/>
        <w:jc w:val="center"/>
      </w:pPr>
      <w:r>
        <w:rPr>
          <w:color w:val="555555"/>
          <w:sz w:val="20"/>
          <w:szCs w:val="20"/>
        </w:rPr>
        <w:t xml:space="preserve">Version: 1.0        Date: [Placeholder Date]</w:t>
      </w:r>
    </w:p>
    <w:p>
      <w:pPr>
        <w:spacing w:before="100"/>
        <w:jc w:val="center"/>
      </w:pPr>
      <w:r>
        <w:rPr>
          <w:color w:val="555555"/>
          <w:sz w:val="20"/>
          <w:szCs w:val="20"/>
        </w:rPr>
        <w:t xml:space="preserve">Status: Draft / For Review</w:t>
      </w:r>
    </w:p>
    <w:p>
      <w:pPr>
        <w:spacing w:after="160" w:before="700"/>
        <w:jc w:val="center"/>
      </w:pPr>
      <w:r>
        <w:rPr>
          <w:b/>
          <w:bCs/>
          <w:color w:val="1F3864"/>
          <w:sz w:val="22"/>
          <w:szCs w:val="22"/>
        </w:rPr>
        <w:t xml:space="preserve">Version History</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3200"/>
        <w:gridCol w:w="2600"/>
      </w:tblGrid>
      <w:tr>
        <w:tc>
          <w:tcPr>
            <w:tcW w:type="dxa" w:w="1400"/>
            <w:shd w:fill="1F3864" w:val="clear"/>
            <w:tcMar>
              <w:top w:type="dxa" w:w="80"/>
              <w:left w:type="dxa" w:w="100"/>
              <w:bottom w:type="dxa" w:w="80"/>
              <w:right w:type="dxa" w:w="100"/>
            </w:tcMar>
            <w:vAlign w:val="center"/>
          </w:tcPr>
          <w:p>
            <w:r>
              <w:rPr>
                <w:b/>
                <w:bCs/>
                <w:color w:val="FFFFFF"/>
                <w:sz w:val="20"/>
                <w:szCs w:val="20"/>
              </w:rPr>
              <w:t xml:space="preserve">Version</w:t>
            </w:r>
          </w:p>
        </w:tc>
        <w:tc>
          <w:tcPr>
            <w:tcW w:type="dxa" w:w="2200"/>
            <w:shd w:fill="1F3864" w:val="clear"/>
            <w:tcMar>
              <w:top w:type="dxa" w:w="80"/>
              <w:left w:type="dxa" w:w="100"/>
              <w:bottom w:type="dxa" w:w="80"/>
              <w:right w:type="dxa" w:w="100"/>
            </w:tcMar>
            <w:vAlign w:val="center"/>
          </w:tcPr>
          <w:p>
            <w:r>
              <w:rPr>
                <w:b/>
                <w:bCs/>
                <w:color w:val="FFFFFF"/>
                <w:sz w:val="20"/>
                <w:szCs w:val="20"/>
              </w:rPr>
              <w:t xml:space="preserve">Date</w:t>
            </w:r>
          </w:p>
        </w:tc>
        <w:tc>
          <w:tcPr>
            <w:tcW w:type="dxa" w:w="3200"/>
            <w:shd w:fill="1F3864" w:val="clear"/>
            <w:tcMar>
              <w:top w:type="dxa" w:w="80"/>
              <w:left w:type="dxa" w:w="100"/>
              <w:bottom w:type="dxa" w:w="80"/>
              <w:right w:type="dxa" w:w="100"/>
            </w:tcMar>
            <w:vAlign w:val="center"/>
          </w:tcPr>
          <w:p>
            <w:r>
              <w:rPr>
                <w:b/>
                <w:bCs/>
                <w:color w:val="FFFFFF"/>
                <w:sz w:val="20"/>
                <w:szCs w:val="20"/>
              </w:rPr>
              <w:t xml:space="preserve">Author</w:t>
            </w:r>
          </w:p>
        </w:tc>
        <w:tc>
          <w:tcPr>
            <w:tcW w:type="dxa" w:w="2600"/>
            <w:shd w:fill="1F3864" w:val="clear"/>
            <w:tcMar>
              <w:top w:type="dxa" w:w="80"/>
              <w:left w:type="dxa" w:w="100"/>
              <w:bottom w:type="dxa" w:w="80"/>
              <w:right w:type="dxa" w:w="100"/>
            </w:tcMar>
            <w:vAlign w:val="center"/>
          </w:tcPr>
          <w:p>
            <w:r>
              <w:rPr>
                <w:b/>
                <w:bCs/>
                <w:color w:val="FFFFFF"/>
                <w:sz w:val="20"/>
                <w:szCs w:val="20"/>
              </w:rPr>
              <w:t xml:space="preserve">Change Description</w:t>
            </w:r>
          </w:p>
        </w:tc>
      </w:tr>
      <w:tr>
        <w:tc>
          <w:tcPr>
            <w:tcW w:type="dxa" w:w="1400"/>
            <w:tcMar>
              <w:top w:type="dxa" w:w="80"/>
              <w:left w:type="dxa" w:w="100"/>
              <w:bottom w:type="dxa" w:w="80"/>
              <w:right w:type="dxa" w:w="100"/>
            </w:tcMar>
            <w:vAlign w:val="center"/>
          </w:tcPr>
          <w:p>
            <w:r>
              <w:rPr>
                <w:b w:val="false"/>
                <w:bCs w:val="false"/>
                <w:color w:val="222222"/>
                <w:sz w:val="20"/>
                <w:szCs w:val="20"/>
              </w:rPr>
              <w:t xml:space="preserve">1.0</w:t>
            </w:r>
          </w:p>
        </w:tc>
        <w:tc>
          <w:tcPr>
            <w:tcW w:type="dxa" w:w="22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2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tcMar>
              <w:top w:type="dxa" w:w="80"/>
              <w:left w:type="dxa" w:w="100"/>
              <w:bottom w:type="dxa" w:w="80"/>
              <w:right w:type="dxa" w:w="100"/>
            </w:tcMar>
            <w:vAlign w:val="center"/>
          </w:tcPr>
          <w:p>
            <w:r>
              <w:rPr>
                <w:b w:val="false"/>
                <w:bCs w:val="false"/>
                <w:color w:val="222222"/>
                <w:sz w:val="20"/>
                <w:szCs w:val="20"/>
              </w:rPr>
              <w:t xml:space="preserve">Initial draft of migration design document</w:t>
            </w:r>
          </w:p>
        </w:tc>
      </w:tr>
    </w:tbl>
    <w:p>
      <w:r>
        <w:br w:type="page"/>
      </w:r>
    </w:p>
    <w:p>
      <w:pPr>
        <w:spacing w:after="200"/>
      </w:pPr>
      <w:r>
        <w:rPr>
          <w:b/>
          <w:bCs/>
          <w:color w:val="1F3864"/>
          <w:sz w:val="28"/>
          <w:szCs w:val="28"/>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2E74B5" w:sz="6" w:space="4"/>
        </w:pBdr>
        <w:spacing w:after="160" w:before="360"/>
      </w:pPr>
      <w:r>
        <w:rPr>
          <w:b/>
          <w:bCs/>
          <w:color w:val="1F3864"/>
          <w:sz w:val="30"/>
          <w:szCs w:val="30"/>
        </w:rPr>
        <w:t xml:space="preserve">1. Overview &amp; Purpose</w:t>
      </w:r>
    </w:p>
    <w:p>
      <w:pPr>
        <w:spacing w:after="160" w:line="276"/>
      </w:pPr>
      <w:r>
        <w:rPr>
          <w:b w:val="false"/>
          <w:bCs w:val="false"/>
          <w:i w:val="false"/>
          <w:iCs w:val="false"/>
          <w:color w:val="222222"/>
          <w:sz w:val="21"/>
          <w:szCs w:val="21"/>
        </w:rPr>
        <w:t xml:space="preserve">This document describes the design and implementation of the migration of an existing standalone Power BI report — previously built on datasets sourced from local files — to a fully pipeline-driven architecture on Microsoft Fabric. The intent is to provide a step-by-step reference for how the solution was built, how data flows end-to-end, and what end users must do to keep the report current.</w:t>
      </w:r>
    </w:p>
    <w:p>
      <w:pPr>
        <w:pStyle w:val="Heading2"/>
        <w:spacing w:after="120" w:before="280"/>
      </w:pPr>
      <w:r>
        <w:rPr>
          <w:b/>
          <w:bCs/>
          <w:color w:val="1F3864"/>
          <w:sz w:val="24"/>
          <w:szCs w:val="24"/>
        </w:rPr>
        <w:t xml:space="preserve">1.1 Background</w:t>
      </w:r>
    </w:p>
    <w:p>
      <w:pPr>
        <w:spacing w:after="160" w:line="276"/>
      </w:pPr>
      <w:r>
        <w:rPr>
          <w:b w:val="false"/>
          <w:bCs w:val="false"/>
          <w:i w:val="false"/>
          <w:iCs w:val="false"/>
          <w:color w:val="222222"/>
          <w:sz w:val="21"/>
          <w:szCs w:val="21"/>
        </w:rPr>
        <w:t xml:space="preserve">The original report was developed as a standalone Power BI Desktop (.pbix) file. Its datasets were sourced from files stored on a user's local machine and imported directly into the Power BI data model. This approach had several limitations:</w:t>
      </w:r>
    </w:p>
    <w:p>
      <w:pPr>
        <w:pStyle w:val="ListParagraph"/>
        <w:numPr>
          <w:ilvl w:val="0"/>
          <w:numId w:val="2"/>
        </w:numPr>
        <w:spacing w:after="80"/>
      </w:pPr>
      <w:r>
        <w:rPr>
          <w:color w:val="222222"/>
          <w:sz w:val="21"/>
          <w:szCs w:val="21"/>
        </w:rPr>
        <w:t xml:space="preserve">No centralized, shared source of truth for input files.</w:t>
      </w:r>
    </w:p>
    <w:p>
      <w:pPr>
        <w:pStyle w:val="ListParagraph"/>
        <w:numPr>
          <w:ilvl w:val="0"/>
          <w:numId w:val="2"/>
        </w:numPr>
        <w:spacing w:after="80"/>
      </w:pPr>
      <w:r>
        <w:rPr>
          <w:color w:val="222222"/>
          <w:sz w:val="21"/>
          <w:szCs w:val="21"/>
        </w:rPr>
        <w:t xml:space="preserve">Manual, non-repeatable refresh process dependent on a single user's machine.</w:t>
      </w:r>
    </w:p>
    <w:p>
      <w:pPr>
        <w:pStyle w:val="ListParagraph"/>
        <w:numPr>
          <w:ilvl w:val="0"/>
          <w:numId w:val="2"/>
        </w:numPr>
        <w:spacing w:after="80"/>
      </w:pPr>
      <w:r>
        <w:rPr>
          <w:color w:val="222222"/>
          <w:sz w:val="21"/>
          <w:szCs w:val="21"/>
        </w:rPr>
        <w:t xml:space="preserve">No audit trail, versioning, or automated validation of source data.</w:t>
      </w:r>
    </w:p>
    <w:p>
      <w:pPr>
        <w:pStyle w:val="ListParagraph"/>
        <w:numPr>
          <w:ilvl w:val="0"/>
          <w:numId w:val="2"/>
        </w:numPr>
        <w:spacing w:after="80"/>
      </w:pPr>
      <w:r>
        <w:rPr>
          <w:color w:val="222222"/>
          <w:sz w:val="21"/>
          <w:szCs w:val="21"/>
        </w:rPr>
        <w:t xml:space="preserve">Difficult to scale, schedule, or hand over to another owner.</w:t>
      </w:r>
    </w:p>
    <w:p>
      <w:pPr>
        <w:pStyle w:val="Heading2"/>
        <w:spacing w:after="120" w:before="280"/>
      </w:pPr>
      <w:r>
        <w:rPr>
          <w:b/>
          <w:bCs/>
          <w:color w:val="1F3864"/>
          <w:sz w:val="24"/>
          <w:szCs w:val="24"/>
        </w:rPr>
        <w:t xml:space="preserve">1.2 Objective</w:t>
      </w:r>
    </w:p>
    <w:p>
      <w:pPr>
        <w:spacing w:after="160" w:line="276"/>
      </w:pPr>
      <w:r>
        <w:rPr>
          <w:b w:val="false"/>
          <w:bCs w:val="false"/>
          <w:i w:val="false"/>
          <w:iCs w:val="false"/>
          <w:color w:val="222222"/>
          <w:sz w:val="21"/>
          <w:szCs w:val="21"/>
        </w:rPr>
        <w:t xml:space="preserve">Migrate the report to a governed, automated pipeline that:</w:t>
      </w:r>
    </w:p>
    <w:p>
      <w:pPr>
        <w:pStyle w:val="ListParagraph"/>
        <w:numPr>
          <w:ilvl w:val="0"/>
          <w:numId w:val="2"/>
        </w:numPr>
        <w:spacing w:after="80"/>
      </w:pPr>
      <w:r>
        <w:rPr>
          <w:color w:val="222222"/>
          <w:sz w:val="21"/>
          <w:szCs w:val="21"/>
        </w:rPr>
        <w:t xml:space="preserve">Accepts source files from a shared SharePoint location instead of a local machine.</w:t>
      </w:r>
    </w:p>
    <w:p>
      <w:pPr>
        <w:pStyle w:val="ListParagraph"/>
        <w:numPr>
          <w:ilvl w:val="0"/>
          <w:numId w:val="2"/>
        </w:numPr>
        <w:spacing w:after="80"/>
      </w:pPr>
      <w:r>
        <w:rPr>
          <w:color w:val="222222"/>
          <w:sz w:val="21"/>
          <w:szCs w:val="21"/>
        </w:rPr>
        <w:t xml:space="preserve">Uses Azure Data Factory (ADF) to orchestrate ingestion and invoke Databricks jobs for transformation.</w:t>
      </w:r>
    </w:p>
    <w:p>
      <w:pPr>
        <w:pStyle w:val="ListParagraph"/>
        <w:numPr>
          <w:ilvl w:val="0"/>
          <w:numId w:val="2"/>
        </w:numPr>
        <w:spacing w:after="80"/>
      </w:pPr>
      <w:r>
        <w:rPr>
          <w:color w:val="222222"/>
          <w:sz w:val="21"/>
          <w:szCs w:val="21"/>
        </w:rPr>
        <w:t xml:space="preserve">Lands curated data as Delta tables in a Microsoft Fabric Lakehouse.</w:t>
      </w:r>
    </w:p>
    <w:p>
      <w:pPr>
        <w:pStyle w:val="ListParagraph"/>
        <w:numPr>
          <w:ilvl w:val="0"/>
          <w:numId w:val="2"/>
        </w:numPr>
        <w:spacing w:after="80"/>
      </w:pPr>
      <w:r>
        <w:rPr>
          <w:color w:val="222222"/>
          <w:sz w:val="21"/>
          <w:szCs w:val="21"/>
        </w:rPr>
        <w:t xml:space="preserve">Serves a Power BI semantic model (Import mode) built on top of the Fabric Delta tables.</w:t>
      </w:r>
    </w:p>
    <w:p>
      <w:pPr>
        <w:pStyle w:val="ListParagraph"/>
        <w:numPr>
          <w:ilvl w:val="0"/>
          <w:numId w:val="2"/>
        </w:numPr>
        <w:spacing w:after="80"/>
      </w:pPr>
      <w:r>
        <w:rPr>
          <w:color w:val="222222"/>
          <w:sz w:val="21"/>
          <w:szCs w:val="21"/>
        </w:rPr>
        <w:t xml:space="preserve">Refreshes automatically on a fixed weekly schedule, with the semantic model refresh triggered as the final step of the ADF pipeline.</w:t>
      </w:r>
    </w:p>
    <w:p>
      <w:r>
        <w:br w:type="page"/>
      </w:r>
    </w:p>
    <w:p>
      <w:pPr>
        <w:pStyle w:val="Heading1"/>
        <w:pBdr>
          <w:bottom w:val="single" w:color="2E74B5" w:sz="6" w:space="4"/>
        </w:pBdr>
        <w:spacing w:after="160" w:before="360"/>
      </w:pPr>
      <w:r>
        <w:rPr>
          <w:b/>
          <w:bCs/>
          <w:color w:val="1F3864"/>
          <w:sz w:val="30"/>
          <w:szCs w:val="30"/>
        </w:rPr>
        <w:t xml:space="preserve">2. Architecture Overview</w:t>
      </w:r>
    </w:p>
    <w:p>
      <w:pPr>
        <w:pStyle w:val="Heading2"/>
        <w:spacing w:after="120" w:before="280"/>
      </w:pPr>
      <w:r>
        <w:rPr>
          <w:b/>
          <w:bCs/>
          <w:color w:val="1F3864"/>
          <w:sz w:val="24"/>
          <w:szCs w:val="24"/>
        </w:rPr>
        <w:t xml:space="preserve">2.1 Legacy Architecture (Before)</w:t>
      </w:r>
    </w:p>
    <w:p>
      <w:pPr>
        <w:spacing w:after="160" w:line="276"/>
      </w:pPr>
      <w:r>
        <w:rPr>
          <w:b w:val="false"/>
          <w:bCs w:val="false"/>
          <w:i w:val="false"/>
          <w:iCs w:val="false"/>
          <w:color w:val="222222"/>
          <w:sz w:val="21"/>
          <w:szCs w:val="21"/>
        </w:rPr>
        <w:t xml:space="preserve">[Placeholder diagram: Local Source Files → Power BI Desktop (Import) → Publish to Power BI Service]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64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Component</w:t>
            </w:r>
          </w:p>
        </w:tc>
        <w:tc>
          <w:tcPr>
            <w:tcW w:type="dxa" w:w="6400"/>
            <w:shd w:fill="1F3864" w:val="clear"/>
            <w:tcMar>
              <w:top w:type="dxa" w:w="80"/>
              <w:left w:type="dxa" w:w="100"/>
              <w:bottom w:type="dxa" w:w="80"/>
              <w:right w:type="dxa" w:w="100"/>
            </w:tcMar>
            <w:vAlign w:val="center"/>
          </w:tcPr>
          <w:p>
            <w:r>
              <w:rPr>
                <w:b/>
                <w:bCs/>
                <w:color w:val="FFFFFF"/>
                <w:sz w:val="20"/>
                <w:szCs w:val="20"/>
              </w:rPr>
              <w:t xml:space="preserve">Description</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Source files</w:t>
            </w:r>
          </w:p>
        </w:tc>
        <w:tc>
          <w:tcPr>
            <w:tcW w:type="dxa" w:w="6400"/>
            <w:tcMar>
              <w:top w:type="dxa" w:w="80"/>
              <w:left w:type="dxa" w:w="100"/>
              <w:bottom w:type="dxa" w:w="80"/>
              <w:right w:type="dxa" w:w="100"/>
            </w:tcMar>
            <w:vAlign w:val="center"/>
          </w:tcPr>
          <w:p>
            <w:r>
              <w:rPr>
                <w:b w:val="false"/>
                <w:bCs w:val="false"/>
                <w:color w:val="222222"/>
                <w:sz w:val="20"/>
                <w:szCs w:val="20"/>
              </w:rPr>
              <w:t xml:space="preserve">CSV / Excel files stored on a local machine / user's laptop</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Ingestion</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Manual – user opens Power BI Desktop and imports files directly</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Transformation</w:t>
            </w:r>
          </w:p>
        </w:tc>
        <w:tc>
          <w:tcPr>
            <w:tcW w:type="dxa" w:w="6400"/>
            <w:tcMar>
              <w:top w:type="dxa" w:w="80"/>
              <w:left w:type="dxa" w:w="100"/>
              <w:bottom w:type="dxa" w:w="80"/>
              <w:right w:type="dxa" w:w="100"/>
            </w:tcMar>
            <w:vAlign w:val="center"/>
          </w:tcPr>
          <w:p>
            <w:r>
              <w:rPr>
                <w:b w:val="false"/>
                <w:bCs w:val="false"/>
                <w:color w:val="222222"/>
                <w:sz w:val="20"/>
                <w:szCs w:val="20"/>
              </w:rPr>
              <w:t xml:space="preserve">Power Query (M) steps within the .pbix file</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Storage</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None – data lived only inside the .pbix data model</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Refresh</w:t>
            </w:r>
          </w:p>
        </w:tc>
        <w:tc>
          <w:tcPr>
            <w:tcW w:type="dxa" w:w="6400"/>
            <w:tcMar>
              <w:top w:type="dxa" w:w="80"/>
              <w:left w:type="dxa" w:w="100"/>
              <w:bottom w:type="dxa" w:w="80"/>
              <w:right w:type="dxa" w:w="100"/>
            </w:tcMar>
            <w:vAlign w:val="center"/>
          </w:tcPr>
          <w:p>
            <w:r>
              <w:rPr>
                <w:b w:val="false"/>
                <w:bCs w:val="false"/>
                <w:color w:val="222222"/>
                <w:sz w:val="20"/>
                <w:szCs w:val="20"/>
              </w:rPr>
              <w:t xml:space="preserve">Manual – user re-imports files and republishes the .pbix</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Report</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Published as a standalone report to a Power BI workspace</w:t>
            </w:r>
          </w:p>
        </w:tc>
      </w:tr>
    </w:tbl>
    <w:p>
      <w:pPr>
        <w:pStyle w:val="Heading2"/>
        <w:spacing w:after="120" w:before="280"/>
      </w:pPr>
      <w:r>
        <w:rPr>
          <w:b/>
          <w:bCs/>
          <w:color w:val="1F3864"/>
          <w:sz w:val="24"/>
          <w:szCs w:val="24"/>
        </w:rPr>
        <w:t xml:space="preserve">2.2 Target Architecture (After)</w:t>
      </w:r>
    </w:p>
    <w:p>
      <w:pPr>
        <w:spacing w:after="160" w:line="276"/>
      </w:pPr>
      <w:r>
        <w:rPr>
          <w:b w:val="false"/>
          <w:bCs w:val="false"/>
          <w:i w:val="false"/>
          <w:iCs w:val="false"/>
          <w:color w:val="222222"/>
          <w:sz w:val="21"/>
          <w:szCs w:val="21"/>
        </w:rPr>
        <w:t xml:space="preserve">[Placeholder diagram: SharePoint → ADF (Copy Activity) → Databricks (Notebook/Job) → Fabric Lakehouse (Delta Tables) → Fabric Semantic Model (Import) → Power BI Report]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64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Component</w:t>
            </w:r>
          </w:p>
        </w:tc>
        <w:tc>
          <w:tcPr>
            <w:tcW w:type="dxa" w:w="6400"/>
            <w:shd w:fill="1F3864" w:val="clear"/>
            <w:tcMar>
              <w:top w:type="dxa" w:w="80"/>
              <w:left w:type="dxa" w:w="100"/>
              <w:bottom w:type="dxa" w:w="80"/>
              <w:right w:type="dxa" w:w="100"/>
            </w:tcMar>
            <w:vAlign w:val="center"/>
          </w:tcPr>
          <w:p>
            <w:r>
              <w:rPr>
                <w:b/>
                <w:bCs/>
                <w:color w:val="FFFFFF"/>
                <w:sz w:val="20"/>
                <w:szCs w:val="20"/>
              </w:rPr>
              <w:t xml:space="preserve">Description</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Source files</w:t>
            </w:r>
          </w:p>
        </w:tc>
        <w:tc>
          <w:tcPr>
            <w:tcW w:type="dxa" w:w="6400"/>
            <w:tcMar>
              <w:top w:type="dxa" w:w="80"/>
              <w:left w:type="dxa" w:w="100"/>
              <w:bottom w:type="dxa" w:w="80"/>
              <w:right w:type="dxa" w:w="100"/>
            </w:tcMar>
            <w:vAlign w:val="center"/>
          </w:tcPr>
          <w:p>
            <w:r>
              <w:rPr>
                <w:b w:val="false"/>
                <w:bCs w:val="false"/>
                <w:color w:val="222222"/>
                <w:sz w:val="20"/>
                <w:szCs w:val="20"/>
              </w:rPr>
              <w:t xml:space="preserve">CSV and ZIP files uploaded by business users to a shared SharePoint document library</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Ingestion</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ADF pipeline [Placeholder: Pipeline Name] triggered on a fixed schedule</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Transformation</w:t>
            </w:r>
          </w:p>
        </w:tc>
        <w:tc>
          <w:tcPr>
            <w:tcW w:type="dxa" w:w="6400"/>
            <w:tcMar>
              <w:top w:type="dxa" w:w="80"/>
              <w:left w:type="dxa" w:w="100"/>
              <w:bottom w:type="dxa" w:w="80"/>
              <w:right w:type="dxa" w:w="100"/>
            </w:tcMar>
            <w:vAlign w:val="center"/>
          </w:tcPr>
          <w:p>
            <w:r>
              <w:rPr>
                <w:b w:val="false"/>
                <w:bCs w:val="false"/>
                <w:color w:val="222222"/>
                <w:sz w:val="20"/>
                <w:szCs w:val="20"/>
              </w:rPr>
              <w:t xml:space="preserve">Databricks job / notebook(s) [Placeholder: Job/Notebook Name] invoked from ADF via a Databricks activity</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Storage</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Microsoft Fabric Lakehouse – curated data written as Delta tables [Placeholder: Lakehouse Name]</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Semantic Model</w:t>
            </w:r>
          </w:p>
        </w:tc>
        <w:tc>
          <w:tcPr>
            <w:tcW w:type="dxa" w:w="6400"/>
            <w:tcMar>
              <w:top w:type="dxa" w:w="80"/>
              <w:left w:type="dxa" w:w="100"/>
              <w:bottom w:type="dxa" w:w="80"/>
              <w:right w:type="dxa" w:w="100"/>
            </w:tcMar>
            <w:vAlign w:val="center"/>
          </w:tcPr>
          <w:p>
            <w:r>
              <w:rPr>
                <w:b w:val="false"/>
                <w:bCs w:val="false"/>
                <w:color w:val="222222"/>
                <w:sz w:val="20"/>
                <w:szCs w:val="20"/>
              </w:rPr>
              <w:t xml:space="preserve">Power BI semantic model in Import mode, refreshed automatically by the ADF pipeline as the final orchestration step</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Report</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Power BI report published in a Fabric workspace, connected to the semantic model</w:t>
            </w:r>
          </w:p>
        </w:tc>
      </w:tr>
    </w:tbl>
    <w:p>
      <w:r>
        <w:br w:type="page"/>
      </w:r>
    </w:p>
    <w:p>
      <w:pPr>
        <w:pStyle w:val="Heading1"/>
        <w:pBdr>
          <w:bottom w:val="single" w:color="2E74B5" w:sz="6" w:space="4"/>
        </w:pBdr>
        <w:spacing w:after="160" w:before="360"/>
      </w:pPr>
      <w:r>
        <w:rPr>
          <w:b/>
          <w:bCs/>
          <w:color w:val="1F3864"/>
          <w:sz w:val="30"/>
          <w:szCs w:val="30"/>
        </w:rPr>
        <w:t xml:space="preserve">3. Detailed Data Flow</w:t>
      </w:r>
    </w:p>
    <w:p>
      <w:pPr>
        <w:pStyle w:val="Heading2"/>
        <w:spacing w:after="120" w:before="280"/>
      </w:pPr>
      <w:r>
        <w:rPr>
          <w:b/>
          <w:bCs/>
          <w:color w:val="1F3864"/>
          <w:sz w:val="24"/>
          <w:szCs w:val="24"/>
        </w:rPr>
        <w:t xml:space="preserve">3.1 Source: SharePoint</w:t>
      </w:r>
    </w:p>
    <w:p>
      <w:pPr>
        <w:spacing w:after="160" w:line="276"/>
      </w:pPr>
      <w:r>
        <w:rPr>
          <w:b w:val="false"/>
          <w:bCs w:val="false"/>
          <w:i w:val="false"/>
          <w:iCs w:val="false"/>
          <w:color w:val="222222"/>
          <w:sz w:val="21"/>
          <w:szCs w:val="21"/>
        </w:rPr>
        <w:t xml:space="preserve">All source files for the 6 datasets are placed in a shared SharePoint document library, replacing the previous local-file source.</w:t>
      </w:r>
    </w:p>
    <w:p>
      <w:pPr>
        <w:pStyle w:val="ListParagraph"/>
        <w:numPr>
          <w:ilvl w:val="0"/>
          <w:numId w:val="2"/>
        </w:numPr>
        <w:spacing w:after="80"/>
      </w:pPr>
      <w:r>
        <w:rPr>
          <w:color w:val="222222"/>
          <w:sz w:val="21"/>
          <w:szCs w:val="21"/>
        </w:rPr>
        <w:t xml:space="preserve">SharePoint site: [Placeholder: https://yourcompany.sharepoint.com/sites/Reporting]</w:t>
      </w:r>
    </w:p>
    <w:p>
      <w:pPr>
        <w:pStyle w:val="ListParagraph"/>
        <w:numPr>
          <w:ilvl w:val="0"/>
          <w:numId w:val="2"/>
        </w:numPr>
        <w:spacing w:after="80"/>
      </w:pPr>
      <w:r>
        <w:rPr>
          <w:color w:val="222222"/>
          <w:sz w:val="21"/>
          <w:szCs w:val="21"/>
        </w:rPr>
        <w:t xml:space="preserve">Document library / folder path: [Placeholder: /Shared Documents/PowerBI_Source_Data/]</w:t>
      </w:r>
    </w:p>
    <w:p>
      <w:pPr>
        <w:pStyle w:val="ListParagraph"/>
        <w:numPr>
          <w:ilvl w:val="0"/>
          <w:numId w:val="2"/>
        </w:numPr>
        <w:spacing w:after="80"/>
      </w:pPr>
      <w:r>
        <w:rPr>
          <w:color w:val="222222"/>
          <w:sz w:val="21"/>
          <w:szCs w:val="21"/>
        </w:rPr>
        <w:t xml:space="preserve">Folder structure: [Placeholder – confirm whether all 6 files live in one flat folder or in per-dataset subfolders]</w:t>
      </w:r>
    </w:p>
    <w:p>
      <w:pPr>
        <w:pStyle w:val="ListParagraph"/>
        <w:numPr>
          <w:ilvl w:val="0"/>
          <w:numId w:val="2"/>
        </w:numPr>
        <w:spacing w:after="80"/>
      </w:pPr>
      <w:r>
        <w:rPr>
          <w:color w:val="222222"/>
          <w:sz w:val="21"/>
          <w:szCs w:val="21"/>
        </w:rPr>
        <w:t xml:space="preserve">Accepted file formats: CSV and ZIP (zipped CSVs are expected for larger datasets)</w:t>
      </w:r>
    </w:p>
    <w:p>
      <w:pPr>
        <w:pStyle w:val="ListParagraph"/>
        <w:numPr>
          <w:ilvl w:val="0"/>
          <w:numId w:val="2"/>
        </w:numPr>
        <w:spacing w:after="80"/>
      </w:pPr>
      <w:r>
        <w:rPr>
          <w:color w:val="222222"/>
          <w:sz w:val="21"/>
          <w:szCs w:val="21"/>
        </w:rPr>
        <w:t xml:space="preserve">Access/permissions: [Placeholder: list of users/groups with upload access]</w:t>
      </w:r>
    </w:p>
    <w:p>
      <w:pPr>
        <w:pStyle w:val="Heading2"/>
        <w:spacing w:after="120" w:before="280"/>
      </w:pPr>
      <w:r>
        <w:rPr>
          <w:b/>
          <w:bCs/>
          <w:color w:val="1F3864"/>
          <w:sz w:val="24"/>
          <w:szCs w:val="24"/>
        </w:rPr>
        <w:t xml:space="preserve">3.2 Ingestion: Azure Data Factory (ADF)</w:t>
      </w:r>
    </w:p>
    <w:p>
      <w:pPr>
        <w:spacing w:after="160" w:line="276"/>
      </w:pPr>
      <w:r>
        <w:rPr>
          <w:b w:val="false"/>
          <w:bCs w:val="false"/>
          <w:i w:val="false"/>
          <w:iCs w:val="false"/>
          <w:color w:val="222222"/>
          <w:sz w:val="21"/>
          <w:szCs w:val="21"/>
        </w:rPr>
        <w:t xml:space="preserve">An ADF pipeline orchestrates the end-to-end load. High-level activity sequence:</w:t>
      </w:r>
    </w:p>
    <w:p>
      <w:pPr>
        <w:pStyle w:val="ListParagraph"/>
        <w:numPr>
          <w:ilvl w:val="0"/>
          <w:numId w:val="3"/>
        </w:numPr>
        <w:spacing w:after="80"/>
      </w:pPr>
      <w:r>
        <w:rPr>
          <w:color w:val="222222"/>
          <w:sz w:val="21"/>
          <w:szCs w:val="21"/>
        </w:rPr>
        <w:t xml:space="preserve">Trigger fires on schedule – every Tuesday, 5:00 PM PST (see Section 5).</w:t>
      </w:r>
    </w:p>
    <w:p>
      <w:pPr>
        <w:pStyle w:val="ListParagraph"/>
        <w:numPr>
          <w:ilvl w:val="0"/>
          <w:numId w:val="3"/>
        </w:numPr>
        <w:spacing w:after="80"/>
      </w:pPr>
      <w:r>
        <w:rPr>
          <w:color w:val="222222"/>
          <w:sz w:val="21"/>
          <w:szCs w:val="21"/>
        </w:rPr>
        <w:t xml:space="preserve">Get Metadata / validation activity checks that all 6 expected files are present in the SharePoint folder and match the required naming convention (see Section 6).</w:t>
      </w:r>
    </w:p>
    <w:p>
      <w:pPr>
        <w:pStyle w:val="ListParagraph"/>
        <w:numPr>
          <w:ilvl w:val="0"/>
          <w:numId w:val="3"/>
        </w:numPr>
        <w:spacing w:after="80"/>
      </w:pPr>
      <w:r>
        <w:rPr>
          <w:color w:val="222222"/>
          <w:sz w:val="21"/>
          <w:szCs w:val="21"/>
        </w:rPr>
        <w:t xml:space="preserve">Copy Activity(ies) move/copy the source files from SharePoint into a staging location accessible to Databricks [Placeholder: staging path, e.g., ADLS/Fabric Lakehouse Files section].</w:t>
      </w:r>
    </w:p>
    <w:p>
      <w:pPr>
        <w:pStyle w:val="ListParagraph"/>
        <w:numPr>
          <w:ilvl w:val="0"/>
          <w:numId w:val="3"/>
        </w:numPr>
        <w:spacing w:after="80"/>
      </w:pPr>
      <w:r>
        <w:rPr>
          <w:color w:val="222222"/>
          <w:sz w:val="21"/>
          <w:szCs w:val="21"/>
        </w:rPr>
        <w:t xml:space="preserve">Databricks Notebook/Job Activity invokes the Databricks job to unzip (where needed), read, transform, and load the data into Fabric Delta tables (see Section 3.3).</w:t>
      </w:r>
    </w:p>
    <w:p>
      <w:pPr>
        <w:pStyle w:val="ListParagraph"/>
        <w:numPr>
          <w:ilvl w:val="0"/>
          <w:numId w:val="3"/>
        </w:numPr>
        <w:spacing w:after="80"/>
      </w:pPr>
      <w:r>
        <w:rPr>
          <w:color w:val="222222"/>
          <w:sz w:val="21"/>
          <w:szCs w:val="21"/>
        </w:rPr>
        <w:t xml:space="preserve">Post-load validation activity checks row counts / data quality thresholds [Placeholder].</w:t>
      </w:r>
    </w:p>
    <w:p>
      <w:pPr>
        <w:pStyle w:val="ListParagraph"/>
        <w:numPr>
          <w:ilvl w:val="0"/>
          <w:numId w:val="3"/>
        </w:numPr>
        <w:spacing w:after="80"/>
      </w:pPr>
      <w:r>
        <w:rPr>
          <w:color w:val="222222"/>
          <w:sz w:val="21"/>
          <w:szCs w:val="21"/>
        </w:rPr>
        <w:t xml:space="preserve">Semantic Model Refresh activity (Web/REST or dedicated ADF activity) triggers a refresh of the Fabric Power BI semantic model (Import mode).</w:t>
      </w:r>
    </w:p>
    <w:p>
      <w:pPr>
        <w:pStyle w:val="ListParagraph"/>
        <w:numPr>
          <w:ilvl w:val="0"/>
          <w:numId w:val="3"/>
        </w:numPr>
        <w:spacing w:after="80"/>
      </w:pPr>
      <w:r>
        <w:rPr>
          <w:color w:val="222222"/>
          <w:sz w:val="21"/>
          <w:szCs w:val="21"/>
        </w:rPr>
        <w:t xml:space="preserve">Notification activity sends success/failure alerts [Placeholder: email/Teams webhook].</w:t>
      </w:r>
    </w:p>
    <w:p>
      <w:pPr>
        <w:spacing w:after="160" w:line="276"/>
      </w:pPr>
      <w:r>
        <w:rPr>
          <w:b w:val="false"/>
          <w:bCs w:val="false"/>
          <w:i w:val="false"/>
          <w:iCs w:val="false"/>
          <w:color w:val="222222"/>
          <w:sz w:val="21"/>
          <w:szCs w:val="21"/>
        </w:rPr>
        <w:t xml:space="preserve">Key ADF objects: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64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Object</w:t>
            </w:r>
          </w:p>
        </w:tc>
        <w:tc>
          <w:tcPr>
            <w:tcW w:type="dxa" w:w="6400"/>
            <w:shd w:fill="1F3864" w:val="clear"/>
            <w:tcMar>
              <w:top w:type="dxa" w:w="80"/>
              <w:left w:type="dxa" w:w="100"/>
              <w:bottom w:type="dxa" w:w="80"/>
              <w:right w:type="dxa" w:w="100"/>
            </w:tcMar>
            <w:vAlign w:val="center"/>
          </w:tcPr>
          <w:p>
            <w:r>
              <w:rPr>
                <w:b/>
                <w:bCs/>
                <w:color w:val="FFFFFF"/>
                <w:sz w:val="20"/>
                <w:szCs w:val="20"/>
              </w:rPr>
              <w:t xml:space="preserve">Details</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Pipeline name</w:t>
            </w:r>
          </w:p>
        </w:tc>
        <w:tc>
          <w:tcPr>
            <w:tcW w:type="dxa" w:w="6400"/>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Linked Service – SharePoint</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[Placeholder – SharePoint Online List/REST or SharePoint Files connector]</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Linked Service – Databricks</w:t>
            </w:r>
          </w:p>
        </w:tc>
        <w:tc>
          <w:tcPr>
            <w:tcW w:type="dxa" w:w="6400"/>
            <w:tcMar>
              <w:top w:type="dxa" w:w="80"/>
              <w:left w:type="dxa" w:w="100"/>
              <w:bottom w:type="dxa" w:w="80"/>
              <w:right w:type="dxa" w:w="100"/>
            </w:tcMar>
            <w:vAlign w:val="center"/>
          </w:tcPr>
          <w:p>
            <w:r>
              <w:rPr>
                <w:b w:val="false"/>
                <w:bCs w:val="false"/>
                <w:color w:val="222222"/>
                <w:sz w:val="20"/>
                <w:szCs w:val="20"/>
              </w:rPr>
              <w:t xml:space="preserve">[Placeholder – Databricks workspace URL, cluster/job reference]</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Linked Service – Fabric</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[Placeholder – Fabric workspace / Lakehouse connection]</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Trigger</w:t>
            </w:r>
          </w:p>
        </w:tc>
        <w:tc>
          <w:tcPr>
            <w:tcW w:type="dxa" w:w="6400"/>
            <w:tcMar>
              <w:top w:type="dxa" w:w="80"/>
              <w:left w:type="dxa" w:w="100"/>
              <w:bottom w:type="dxa" w:w="80"/>
              <w:right w:type="dxa" w:w="100"/>
            </w:tcMar>
            <w:vAlign w:val="center"/>
          </w:tcPr>
          <w:p>
            <w:r>
              <w:rPr>
                <w:b w:val="false"/>
                <w:bCs w:val="false"/>
                <w:color w:val="222222"/>
                <w:sz w:val="20"/>
                <w:szCs w:val="20"/>
              </w:rPr>
              <w:t xml:space="preserve">Schedule trigger – weekly, Tuesday 5:00 PM PST</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Parameters</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[Placeholder – e.g., file date, environment, dataset list]</w:t>
            </w:r>
          </w:p>
        </w:tc>
      </w:tr>
    </w:tbl>
    <w:p>
      <w:pPr>
        <w:pStyle w:val="Heading2"/>
        <w:spacing w:after="120" w:before="280"/>
      </w:pPr>
      <w:r>
        <w:rPr>
          <w:b/>
          <w:bCs/>
          <w:color w:val="1F3864"/>
          <w:sz w:val="24"/>
          <w:szCs w:val="24"/>
        </w:rPr>
        <w:t xml:space="preserve">3.3 Transformation: Databricks</w:t>
      </w:r>
    </w:p>
    <w:p>
      <w:pPr>
        <w:spacing w:after="160" w:line="276"/>
      </w:pPr>
      <w:r>
        <w:rPr>
          <w:b w:val="false"/>
          <w:bCs w:val="false"/>
          <w:i w:val="false"/>
          <w:iCs w:val="false"/>
          <w:color w:val="222222"/>
          <w:sz w:val="21"/>
          <w:szCs w:val="21"/>
        </w:rPr>
        <w:t xml:space="preserve">Databricks performs the extraction and transformation logic, invoked as a job/notebook activity from ADF.</w:t>
      </w:r>
    </w:p>
    <w:p>
      <w:pPr>
        <w:pStyle w:val="ListParagraph"/>
        <w:numPr>
          <w:ilvl w:val="0"/>
          <w:numId w:val="2"/>
        </w:numPr>
        <w:spacing w:after="80"/>
      </w:pPr>
      <w:r>
        <w:rPr>
          <w:color w:val="222222"/>
          <w:sz w:val="21"/>
          <w:szCs w:val="21"/>
        </w:rPr>
        <w:t xml:space="preserve">Job/Notebook name: [Placeholder]</w:t>
      </w:r>
    </w:p>
    <w:p>
      <w:pPr>
        <w:pStyle w:val="ListParagraph"/>
        <w:numPr>
          <w:ilvl w:val="0"/>
          <w:numId w:val="2"/>
        </w:numPr>
        <w:spacing w:after="80"/>
      </w:pPr>
      <w:r>
        <w:rPr>
          <w:color w:val="222222"/>
          <w:sz w:val="21"/>
          <w:szCs w:val="21"/>
        </w:rPr>
        <w:t xml:space="preserve">Cluster configuration: [Placeholder – job cluster size, runtime version, autoscaling]</w:t>
      </w:r>
    </w:p>
    <w:p>
      <w:pPr>
        <w:pStyle w:val="ListParagraph"/>
        <w:numPr>
          <w:ilvl w:val="0"/>
          <w:numId w:val="2"/>
        </w:numPr>
        <w:spacing w:after="80"/>
      </w:pPr>
      <w:r>
        <w:rPr>
          <w:color w:val="222222"/>
          <w:sz w:val="21"/>
          <w:szCs w:val="21"/>
        </w:rPr>
        <w:t xml:space="preserve">Processing steps: unzip ZIP files where applicable → read CSVs → schema validation/enforcement → cleansing and transformation logic → write to Fabric Delta tables</w:t>
      </w:r>
    </w:p>
    <w:p>
      <w:pPr>
        <w:pStyle w:val="ListParagraph"/>
        <w:numPr>
          <w:ilvl w:val="0"/>
          <w:numId w:val="2"/>
        </w:numPr>
        <w:spacing w:after="80"/>
      </w:pPr>
      <w:r>
        <w:rPr>
          <w:color w:val="222222"/>
          <w:sz w:val="21"/>
          <w:szCs w:val="21"/>
        </w:rPr>
        <w:t xml:space="preserve">Write mode: [Placeholder – overwrite / append / merge per table]</w:t>
      </w:r>
    </w:p>
    <w:p>
      <w:pPr>
        <w:pStyle w:val="ListParagraph"/>
        <w:numPr>
          <w:ilvl w:val="0"/>
          <w:numId w:val="2"/>
        </w:numPr>
        <w:spacing w:after="80"/>
      </w:pPr>
      <w:r>
        <w:rPr>
          <w:color w:val="222222"/>
          <w:sz w:val="21"/>
          <w:szCs w:val="21"/>
        </w:rPr>
        <w:t xml:space="preserve">Error handling: [Placeholder – how malformed rows/files are handled and logged]</w:t>
      </w:r>
    </w:p>
    <w:p>
      <w:pPr>
        <w:pStyle w:val="Heading2"/>
        <w:spacing w:after="120" w:before="280"/>
      </w:pPr>
      <w:r>
        <w:rPr>
          <w:b/>
          <w:bCs/>
          <w:color w:val="1F3864"/>
          <w:sz w:val="24"/>
          <w:szCs w:val="24"/>
        </w:rPr>
        <w:t xml:space="preserve">3.4 Landing: Fabric Delta Tables</w:t>
      </w:r>
    </w:p>
    <w:p>
      <w:pPr>
        <w:spacing w:after="160" w:line="276"/>
      </w:pPr>
      <w:r>
        <w:rPr>
          <w:b w:val="false"/>
          <w:bCs w:val="false"/>
          <w:i w:val="false"/>
          <w:iCs w:val="false"/>
          <w:color w:val="222222"/>
          <w:sz w:val="21"/>
          <w:szCs w:val="21"/>
        </w:rPr>
        <w:t xml:space="preserve">Curated, transformed data is written into Delta tables inside a Microsoft Fabric Lakehouse.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400"/>
      </w:tblGrid>
      <w:tr>
        <w:tc>
          <w:tcPr>
            <w:tcW w:type="dxa" w:w="2600"/>
            <w:shd w:fill="1F3864" w:val="clear"/>
            <w:tcMar>
              <w:top w:type="dxa" w:w="80"/>
              <w:left w:type="dxa" w:w="100"/>
              <w:bottom w:type="dxa" w:w="80"/>
              <w:right w:type="dxa" w:w="100"/>
            </w:tcMar>
            <w:vAlign w:val="center"/>
          </w:tcPr>
          <w:p>
            <w:r>
              <w:rPr>
                <w:b/>
                <w:bCs/>
                <w:color w:val="FFFFFF"/>
                <w:sz w:val="20"/>
                <w:szCs w:val="20"/>
              </w:rPr>
              <w:t xml:space="preserve">Dataset</w:t>
            </w:r>
          </w:p>
        </w:tc>
        <w:tc>
          <w:tcPr>
            <w:tcW w:type="dxa" w:w="3400"/>
            <w:shd w:fill="1F3864" w:val="clear"/>
            <w:tcMar>
              <w:top w:type="dxa" w:w="80"/>
              <w:left w:type="dxa" w:w="100"/>
              <w:bottom w:type="dxa" w:w="80"/>
              <w:right w:type="dxa" w:w="100"/>
            </w:tcMar>
            <w:vAlign w:val="center"/>
          </w:tcPr>
          <w:p>
            <w:r>
              <w:rPr>
                <w:b/>
                <w:bCs/>
                <w:color w:val="FFFFFF"/>
                <w:sz w:val="20"/>
                <w:szCs w:val="20"/>
              </w:rPr>
              <w:t xml:space="preserve">Fabric Table Name</w:t>
            </w:r>
          </w:p>
        </w:tc>
        <w:tc>
          <w:tcPr>
            <w:tcW w:type="dxa" w:w="3400"/>
            <w:shd w:fill="1F3864" w:val="clear"/>
            <w:tcMar>
              <w:top w:type="dxa" w:w="80"/>
              <w:left w:type="dxa" w:w="100"/>
              <w:bottom w:type="dxa" w:w="80"/>
              <w:right w:type="dxa" w:w="100"/>
            </w:tcMar>
            <w:vAlign w:val="center"/>
          </w:tcPr>
          <w:p>
            <w:r>
              <w:rPr>
                <w:b/>
                <w:bCs/>
                <w:color w:val="FFFFFF"/>
                <w:sz w:val="20"/>
                <w:szCs w:val="20"/>
              </w:rPr>
              <w:t xml:space="preserve">Notes</w:t>
            </w:r>
          </w:p>
        </w:tc>
      </w:tr>
      <w:tr>
        <w:tc>
          <w:tcPr>
            <w:tcW w:type="dxa" w:w="2600"/>
            <w:tcMar>
              <w:top w:type="dxa" w:w="80"/>
              <w:left w:type="dxa" w:w="100"/>
              <w:bottom w:type="dxa" w:w="80"/>
              <w:right w:type="dxa" w:w="100"/>
            </w:tcMar>
            <w:vAlign w:val="center"/>
          </w:tcPr>
          <w:p>
            <w:r>
              <w:rPr>
                <w:b w:val="false"/>
                <w:bCs w:val="false"/>
                <w:color w:val="222222"/>
                <w:sz w:val="20"/>
                <w:szCs w:val="20"/>
              </w:rPr>
              <w:t xml:space="preserve">Dataset 1 – [Placeholder]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Dataset 2 – [Placeholder]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2600"/>
            <w:tcMar>
              <w:top w:type="dxa" w:w="80"/>
              <w:left w:type="dxa" w:w="100"/>
              <w:bottom w:type="dxa" w:w="80"/>
              <w:right w:type="dxa" w:w="100"/>
            </w:tcMar>
            <w:vAlign w:val="center"/>
          </w:tcPr>
          <w:p>
            <w:r>
              <w:rPr>
                <w:b w:val="false"/>
                <w:bCs w:val="false"/>
                <w:color w:val="222222"/>
                <w:sz w:val="20"/>
                <w:szCs w:val="20"/>
              </w:rPr>
              <w:t xml:space="preserve">Dataset 3 – [Placeholder]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Dataset 4 – [Placeholder]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2600"/>
            <w:tcMar>
              <w:top w:type="dxa" w:w="80"/>
              <w:left w:type="dxa" w:w="100"/>
              <w:bottom w:type="dxa" w:w="80"/>
              <w:right w:type="dxa" w:w="100"/>
            </w:tcMar>
            <w:vAlign w:val="center"/>
          </w:tcPr>
          <w:p>
            <w:r>
              <w:rPr>
                <w:b w:val="false"/>
                <w:bCs w:val="false"/>
                <w:color w:val="222222"/>
                <w:sz w:val="20"/>
                <w:szCs w:val="20"/>
              </w:rPr>
              <w:t xml:space="preserve">Dataset 5 – [Placeholder]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Dataset 6 – [Placeholder]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4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r>
    </w:tbl>
    <w:p>
      <w:pPr>
        <w:pStyle w:val="ListParagraph"/>
        <w:numPr>
          <w:ilvl w:val="0"/>
          <w:numId w:val="2"/>
        </w:numPr>
        <w:spacing w:after="80"/>
      </w:pPr>
      <w:r>
        <w:rPr>
          <w:color w:val="222222"/>
          <w:sz w:val="21"/>
          <w:szCs w:val="21"/>
        </w:rPr>
        <w:t xml:space="preserve">Lakehouse name: [Placeholder]</w:t>
      </w:r>
    </w:p>
    <w:p>
      <w:pPr>
        <w:pStyle w:val="ListParagraph"/>
        <w:numPr>
          <w:ilvl w:val="0"/>
          <w:numId w:val="2"/>
        </w:numPr>
        <w:spacing w:after="80"/>
      </w:pPr>
      <w:r>
        <w:rPr>
          <w:color w:val="222222"/>
          <w:sz w:val="21"/>
          <w:szCs w:val="21"/>
        </w:rPr>
        <w:t xml:space="preserve">Workspace: [Placeholder]</w:t>
      </w:r>
    </w:p>
    <w:p>
      <w:pPr>
        <w:pStyle w:val="Heading2"/>
        <w:spacing w:after="120" w:before="280"/>
      </w:pPr>
      <w:r>
        <w:rPr>
          <w:b/>
          <w:bCs/>
          <w:color w:val="1F3864"/>
          <w:sz w:val="24"/>
          <w:szCs w:val="24"/>
        </w:rPr>
        <w:t xml:space="preserve">3.5 Semantic Model</w:t>
      </w:r>
    </w:p>
    <w:p>
      <w:pPr>
        <w:pStyle w:val="ListParagraph"/>
        <w:numPr>
          <w:ilvl w:val="0"/>
          <w:numId w:val="2"/>
        </w:numPr>
        <w:spacing w:after="80"/>
      </w:pPr>
      <w:r>
        <w:rPr>
          <w:color w:val="222222"/>
          <w:sz w:val="21"/>
          <w:szCs w:val="21"/>
        </w:rPr>
        <w:t xml:space="preserve">Mode: Import (not Direct Lake)</w:t>
      </w:r>
    </w:p>
    <w:p>
      <w:pPr>
        <w:pStyle w:val="ListParagraph"/>
        <w:numPr>
          <w:ilvl w:val="0"/>
          <w:numId w:val="2"/>
        </w:numPr>
        <w:spacing w:after="80"/>
      </w:pPr>
      <w:r>
        <w:rPr>
          <w:color w:val="222222"/>
          <w:sz w:val="21"/>
          <w:szCs w:val="21"/>
        </w:rPr>
        <w:t xml:space="preserve">Refresh mechanism: triggered automatically by the ADF pipeline as its final step, via a REST API / Fabric refresh call – no manual refresh required by end users</w:t>
      </w:r>
    </w:p>
    <w:p>
      <w:pPr>
        <w:pStyle w:val="ListParagraph"/>
        <w:numPr>
          <w:ilvl w:val="0"/>
          <w:numId w:val="2"/>
        </w:numPr>
        <w:spacing w:after="80"/>
      </w:pPr>
      <w:r>
        <w:rPr>
          <w:color w:val="222222"/>
          <w:sz w:val="21"/>
          <w:szCs w:val="21"/>
        </w:rPr>
        <w:t xml:space="preserve">Semantic model name: [Placeholder]</w:t>
      </w:r>
    </w:p>
    <w:p>
      <w:pPr>
        <w:pStyle w:val="ListParagraph"/>
        <w:numPr>
          <w:ilvl w:val="0"/>
          <w:numId w:val="2"/>
        </w:numPr>
        <w:spacing w:after="80"/>
      </w:pPr>
      <w:r>
        <w:rPr>
          <w:color w:val="222222"/>
          <w:sz w:val="21"/>
          <w:szCs w:val="21"/>
        </w:rPr>
        <w:t xml:space="preserve">Workspace: [Placeholder]</w:t>
      </w:r>
    </w:p>
    <w:p>
      <w:pPr>
        <w:pStyle w:val="ListParagraph"/>
        <w:numPr>
          <w:ilvl w:val="0"/>
          <w:numId w:val="2"/>
        </w:numPr>
        <w:spacing w:after="80"/>
      </w:pPr>
      <w:r>
        <w:rPr>
          <w:color w:val="222222"/>
          <w:sz w:val="21"/>
          <w:szCs w:val="21"/>
        </w:rPr>
        <w:t xml:space="preserve">Relationships/measures: unchanged from the original model except where noted in Section 7 (DAX changes)</w:t>
      </w:r>
    </w:p>
    <w:p>
      <w:pPr>
        <w:pStyle w:val="Heading2"/>
        <w:spacing w:after="120" w:before="280"/>
      </w:pPr>
      <w:r>
        <w:rPr>
          <w:b/>
          <w:bCs/>
          <w:color w:val="1F3864"/>
          <w:sz w:val="24"/>
          <w:szCs w:val="24"/>
        </w:rPr>
        <w:t xml:space="preserve">3.6 Report</w:t>
      </w:r>
    </w:p>
    <w:p>
      <w:pPr>
        <w:pStyle w:val="ListParagraph"/>
        <w:numPr>
          <w:ilvl w:val="0"/>
          <w:numId w:val="2"/>
        </w:numPr>
        <w:spacing w:after="80"/>
      </w:pPr>
      <w:r>
        <w:rPr>
          <w:color w:val="222222"/>
          <w:sz w:val="21"/>
          <w:szCs w:val="21"/>
        </w:rPr>
        <w:t xml:space="preserve">Report name: [Placeholder]</w:t>
      </w:r>
    </w:p>
    <w:p>
      <w:pPr>
        <w:pStyle w:val="ListParagraph"/>
        <w:numPr>
          <w:ilvl w:val="0"/>
          <w:numId w:val="2"/>
        </w:numPr>
        <w:spacing w:after="80"/>
      </w:pPr>
      <w:r>
        <w:rPr>
          <w:color w:val="222222"/>
          <w:sz w:val="21"/>
          <w:szCs w:val="21"/>
        </w:rPr>
        <w:t xml:space="preserve">Workspace: [Placeholder]</w:t>
      </w:r>
    </w:p>
    <w:p>
      <w:pPr>
        <w:pStyle w:val="ListParagraph"/>
        <w:numPr>
          <w:ilvl w:val="0"/>
          <w:numId w:val="2"/>
        </w:numPr>
        <w:spacing w:after="80"/>
      </w:pPr>
      <w:r>
        <w:rPr>
          <w:color w:val="222222"/>
          <w:sz w:val="21"/>
          <w:szCs w:val="21"/>
        </w:rPr>
        <w:t xml:space="preserve">Visuals/layout: unchanged – only the underlying data source connection changed (see Section 7)</w:t>
      </w:r>
    </w:p>
    <w:p>
      <w:r>
        <w:br w:type="page"/>
      </w:r>
    </w:p>
    <w:p>
      <w:pPr>
        <w:pStyle w:val="Heading1"/>
        <w:pBdr>
          <w:bottom w:val="single" w:color="2E74B5" w:sz="6" w:space="4"/>
        </w:pBdr>
        <w:spacing w:after="160" w:before="360"/>
      </w:pPr>
      <w:r>
        <w:rPr>
          <w:b/>
          <w:bCs/>
          <w:color w:val="1F3864"/>
          <w:sz w:val="30"/>
          <w:szCs w:val="30"/>
        </w:rPr>
        <w:t xml:space="preserve">4. Migration Steps (What Was Done)</w:t>
      </w:r>
    </w:p>
    <w:p>
      <w:pPr>
        <w:spacing w:after="160" w:line="276"/>
      </w:pPr>
      <w:r>
        <w:rPr>
          <w:b w:val="false"/>
          <w:bCs w:val="false"/>
          <w:i w:val="false"/>
          <w:iCs w:val="false"/>
          <w:color w:val="222222"/>
          <w:sz w:val="21"/>
          <w:szCs w:val="21"/>
        </w:rPr>
        <w:t xml:space="preserve">The following steps summarize how the migration from the legacy standalone report to the new Fabric-based architecture was carried out.</w:t>
      </w:r>
    </w:p>
    <w:p>
      <w:pPr>
        <w:pStyle w:val="ListParagraph"/>
        <w:numPr>
          <w:ilvl w:val="0"/>
          <w:numId w:val="4"/>
        </w:numPr>
        <w:spacing w:after="80"/>
      </w:pPr>
      <w:r>
        <w:rPr>
          <w:color w:val="222222"/>
          <w:sz w:val="21"/>
          <w:szCs w:val="21"/>
        </w:rPr>
        <w:t xml:space="preserve">Identified and documented all 6 source datasets used by the original standalone report, along with their original local file paths and formats.</w:t>
      </w:r>
    </w:p>
    <w:p>
      <w:pPr>
        <w:pStyle w:val="ListParagraph"/>
        <w:numPr>
          <w:ilvl w:val="0"/>
          <w:numId w:val="4"/>
        </w:numPr>
        <w:spacing w:after="80"/>
      </w:pPr>
      <w:r>
        <w:rPr>
          <w:color w:val="222222"/>
          <w:sz w:val="21"/>
          <w:szCs w:val="21"/>
        </w:rPr>
        <w:t xml:space="preserve">Provisioned/confirmed the SharePoint document library to serve as the new shared source location, and defined the folder structure and file naming convention (Section 6).</w:t>
      </w:r>
    </w:p>
    <w:p>
      <w:pPr>
        <w:pStyle w:val="ListParagraph"/>
        <w:numPr>
          <w:ilvl w:val="0"/>
          <w:numId w:val="4"/>
        </w:numPr>
        <w:spacing w:after="80"/>
      </w:pPr>
      <w:r>
        <w:rPr>
          <w:color w:val="222222"/>
          <w:sz w:val="21"/>
          <w:szCs w:val="21"/>
        </w:rPr>
        <w:t xml:space="preserve">Built/updated the ADF pipeline to read from SharePoint, validate file presence and naming, and stage files for Databricks.</w:t>
      </w:r>
    </w:p>
    <w:p>
      <w:pPr>
        <w:pStyle w:val="ListParagraph"/>
        <w:numPr>
          <w:ilvl w:val="0"/>
          <w:numId w:val="4"/>
        </w:numPr>
        <w:spacing w:after="80"/>
      </w:pPr>
      <w:r>
        <w:rPr>
          <w:color w:val="222222"/>
          <w:sz w:val="21"/>
          <w:szCs w:val="21"/>
        </w:rPr>
        <w:t xml:space="preserve">Developed/updated the Databricks job to unzip, read, transform, and load each of the 6 datasets into corresponding Fabric Delta tables.</w:t>
      </w:r>
    </w:p>
    <w:p>
      <w:pPr>
        <w:pStyle w:val="ListParagraph"/>
        <w:numPr>
          <w:ilvl w:val="0"/>
          <w:numId w:val="4"/>
        </w:numPr>
        <w:spacing w:after="80"/>
      </w:pPr>
      <w:r>
        <w:rPr>
          <w:color w:val="222222"/>
          <w:sz w:val="21"/>
          <w:szCs w:val="21"/>
        </w:rPr>
        <w:t xml:space="preserve">Provisioned the Fabric Lakehouse and created the target Delta table schemas.</w:t>
      </w:r>
    </w:p>
    <w:p>
      <w:pPr>
        <w:pStyle w:val="ListParagraph"/>
        <w:numPr>
          <w:ilvl w:val="0"/>
          <w:numId w:val="4"/>
        </w:numPr>
        <w:spacing w:after="80"/>
      </w:pPr>
      <w:r>
        <w:rPr>
          <w:color w:val="222222"/>
          <w:sz w:val="21"/>
          <w:szCs w:val="21"/>
        </w:rPr>
        <w:t xml:space="preserve">Rebuilt/repointed the Power BI semantic model to source from the Fabric Lakehouse tables instead of local files, updating the Power Query (M) connection logic (Section 7).</w:t>
      </w:r>
    </w:p>
    <w:p>
      <w:pPr>
        <w:pStyle w:val="ListParagraph"/>
        <w:numPr>
          <w:ilvl w:val="0"/>
          <w:numId w:val="4"/>
        </w:numPr>
        <w:spacing w:after="80"/>
      </w:pPr>
      <w:r>
        <w:rPr>
          <w:color w:val="222222"/>
          <w:sz w:val="21"/>
          <w:szCs w:val="21"/>
        </w:rPr>
        <w:t xml:space="preserve">Validated DAX measures and report visuals against the new semantic model to confirm no regressions.</w:t>
      </w:r>
    </w:p>
    <w:p>
      <w:pPr>
        <w:pStyle w:val="ListParagraph"/>
        <w:numPr>
          <w:ilvl w:val="0"/>
          <w:numId w:val="4"/>
        </w:numPr>
        <w:spacing w:after="80"/>
      </w:pPr>
      <w:r>
        <w:rPr>
          <w:color w:val="222222"/>
          <w:sz w:val="21"/>
          <w:szCs w:val="21"/>
        </w:rPr>
        <w:t xml:space="preserve">Configured the ADF schedule trigger for weekly execution (Tuesday, 5:00 PM PST) and added the semantic model refresh as the final pipeline step.</w:t>
      </w:r>
    </w:p>
    <w:p>
      <w:pPr>
        <w:pStyle w:val="ListParagraph"/>
        <w:numPr>
          <w:ilvl w:val="0"/>
          <w:numId w:val="4"/>
        </w:numPr>
        <w:spacing w:after="80"/>
      </w:pPr>
      <w:r>
        <w:rPr>
          <w:color w:val="222222"/>
          <w:sz w:val="21"/>
          <w:szCs w:val="21"/>
        </w:rPr>
        <w:t xml:space="preserve">Performed parallel run / data parity validation between the legacy report and the new pipeline-driven report (Section 8).</w:t>
      </w:r>
    </w:p>
    <w:p>
      <w:pPr>
        <w:pStyle w:val="ListParagraph"/>
        <w:numPr>
          <w:ilvl w:val="0"/>
          <w:numId w:val="4"/>
        </w:numPr>
        <w:spacing w:after="80"/>
      </w:pPr>
      <w:r>
        <w:rPr>
          <w:color w:val="222222"/>
          <w:sz w:val="21"/>
          <w:szCs w:val="21"/>
        </w:rPr>
        <w:t xml:space="preserve">Published the updated report and semantic model to the target Fabric workspace and decommissioned the legacy standalone .pbix as the source of truth.</w:t>
      </w:r>
    </w:p>
    <w:p>
      <w:pPr>
        <w:pStyle w:val="ListParagraph"/>
        <w:numPr>
          <w:ilvl w:val="0"/>
          <w:numId w:val="4"/>
        </w:numPr>
        <w:spacing w:after="80"/>
      </w:pPr>
      <w:r>
        <w:rPr>
          <w:color w:val="222222"/>
          <w:sz w:val="21"/>
          <w:szCs w:val="21"/>
        </w:rPr>
        <w:t xml:space="preserve">Communicated the new file-upload process and naming convention to business users (Section 6).</w:t>
      </w:r>
    </w:p>
    <w:p>
      <w:r>
        <w:br w:type="page"/>
      </w:r>
    </w:p>
    <w:p>
      <w:pPr>
        <w:pStyle w:val="Heading1"/>
        <w:pBdr>
          <w:bottom w:val="single" w:color="2E74B5" w:sz="6" w:space="4"/>
        </w:pBdr>
        <w:spacing w:after="160" w:before="360"/>
      </w:pPr>
      <w:r>
        <w:rPr>
          <w:b/>
          <w:bCs/>
          <w:color w:val="1F3864"/>
          <w:sz w:val="30"/>
          <w:szCs w:val="30"/>
        </w:rPr>
        <w:t xml:space="preserve">5. Orchestration &amp; Scheduling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64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Item</w:t>
            </w:r>
          </w:p>
        </w:tc>
        <w:tc>
          <w:tcPr>
            <w:tcW w:type="dxa" w:w="6400"/>
            <w:shd w:fill="1F3864" w:val="clear"/>
            <w:tcMar>
              <w:top w:type="dxa" w:w="80"/>
              <w:left w:type="dxa" w:w="100"/>
              <w:bottom w:type="dxa" w:w="80"/>
              <w:right w:type="dxa" w:w="100"/>
            </w:tcMar>
            <w:vAlign w:val="center"/>
          </w:tcPr>
          <w:p>
            <w:r>
              <w:rPr>
                <w:b/>
                <w:bCs/>
                <w:color w:val="FFFFFF"/>
                <w:sz w:val="20"/>
                <w:szCs w:val="20"/>
              </w:rPr>
              <w:t xml:space="preserve">Detail</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Trigger type</w:t>
            </w:r>
          </w:p>
        </w:tc>
        <w:tc>
          <w:tcPr>
            <w:tcW w:type="dxa" w:w="6400"/>
            <w:tcMar>
              <w:top w:type="dxa" w:w="80"/>
              <w:left w:type="dxa" w:w="100"/>
              <w:bottom w:type="dxa" w:w="80"/>
              <w:right w:type="dxa" w:w="100"/>
            </w:tcMar>
            <w:vAlign w:val="center"/>
          </w:tcPr>
          <w:p>
            <w:r>
              <w:rPr>
                <w:b w:val="false"/>
                <w:bCs w:val="false"/>
                <w:color w:val="222222"/>
                <w:sz w:val="20"/>
                <w:szCs w:val="20"/>
              </w:rPr>
              <w:t xml:space="preserve">Schedule trigger (event-based trigger on file arrival may be adopted in a future phase)</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Frequency</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Weekly – every Tuesday</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Time</w:t>
            </w:r>
          </w:p>
        </w:tc>
        <w:tc>
          <w:tcPr>
            <w:tcW w:type="dxa" w:w="6400"/>
            <w:tcMar>
              <w:top w:type="dxa" w:w="80"/>
              <w:left w:type="dxa" w:w="100"/>
              <w:bottom w:type="dxa" w:w="80"/>
              <w:right w:type="dxa" w:w="100"/>
            </w:tcMar>
            <w:vAlign w:val="center"/>
          </w:tcPr>
          <w:p>
            <w:r>
              <w:rPr>
                <w:b w:val="false"/>
                <w:bCs w:val="false"/>
                <w:color w:val="222222"/>
                <w:sz w:val="20"/>
                <w:szCs w:val="20"/>
              </w:rPr>
              <w:t xml:space="preserve">5:00 PM PST</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End-to-end runtime</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[Placeholder – typical duration from trigger to report availability]</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Monitoring</w:t>
            </w:r>
          </w:p>
        </w:tc>
        <w:tc>
          <w:tcPr>
            <w:tcW w:type="dxa" w:w="6400"/>
            <w:tcMar>
              <w:top w:type="dxa" w:w="80"/>
              <w:left w:type="dxa" w:w="100"/>
              <w:bottom w:type="dxa" w:w="80"/>
              <w:right w:type="dxa" w:w="100"/>
            </w:tcMar>
            <w:vAlign w:val="center"/>
          </w:tcPr>
          <w:p>
            <w:r>
              <w:rPr>
                <w:b w:val="false"/>
                <w:bCs w:val="false"/>
                <w:color w:val="222222"/>
                <w:sz w:val="20"/>
                <w:szCs w:val="20"/>
              </w:rPr>
              <w:t xml:space="preserve">[Placeholder – ADF monitoring, Databricks job UI, alerting channel]</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Failure handling</w:t>
            </w:r>
          </w:p>
        </w:tc>
        <w:tc>
          <w:tcPr>
            <w:tcW w:type="dxa" w:w="6400"/>
            <w:shd w:fill="F2F2F2" w:val="clear"/>
            <w:tcMar>
              <w:top w:type="dxa" w:w="80"/>
              <w:left w:type="dxa" w:w="100"/>
              <w:bottom w:type="dxa" w:w="80"/>
              <w:right w:type="dxa" w:w="100"/>
            </w:tcMar>
            <w:vAlign w:val="center"/>
          </w:tcPr>
          <w:p>
            <w:r>
              <w:rPr>
                <w:b w:val="false"/>
                <w:bCs w:val="false"/>
                <w:color w:val="222222"/>
                <w:sz w:val="20"/>
                <w:szCs w:val="20"/>
              </w:rPr>
              <w:t xml:space="preserve">[Placeholder – retry policy, alert recipients, manual rerun process]</w:t>
            </w:r>
          </w:p>
        </w:tc>
      </w:tr>
    </w:tbl>
    <w:p>
      <w:pPr>
        <w:pBdr>
          <w:left w:val="single" w:color="E8A33D" w:sz="18" w:space="8"/>
        </w:pBdr>
        <w:shd w:fill="FFF4E5" w:val="clear"/>
        <w:spacing w:after="200" w:before="100"/>
        <w:ind w:left="100"/>
      </w:pPr>
      <w:r>
        <w:rPr>
          <w:i/>
          <w:iCs/>
          <w:color w:val="6B4A00"/>
          <w:sz w:val="20"/>
          <w:szCs w:val="20"/>
        </w:rPr>
        <w:t xml:space="preserve">Note: The trigger is currently time-based. An event-based trigger (fired on file upload/change in SharePoint) is a potential future enhancement and is out of scope for this phase.</w:t>
      </w:r>
    </w:p>
    <w:p>
      <w:r>
        <w:br w:type="page"/>
      </w:r>
    </w:p>
    <w:p>
      <w:pPr>
        <w:pStyle w:val="Heading1"/>
        <w:pBdr>
          <w:bottom w:val="single" w:color="2E74B5" w:sz="6" w:space="4"/>
        </w:pBdr>
        <w:spacing w:after="160" w:before="360"/>
      </w:pPr>
      <w:r>
        <w:rPr>
          <w:b/>
          <w:bCs/>
          <w:color w:val="1F3864"/>
          <w:sz w:val="30"/>
          <w:szCs w:val="30"/>
        </w:rPr>
        <w:t xml:space="preserve">6. End-User Guide: How to Get the Report Updated</w:t>
      </w:r>
    </w:p>
    <w:p>
      <w:pPr>
        <w:spacing w:after="160" w:line="276"/>
      </w:pPr>
      <w:r>
        <w:rPr>
          <w:b w:val="false"/>
          <w:bCs w:val="false"/>
          <w:i w:val="false"/>
          <w:iCs w:val="false"/>
          <w:color w:val="222222"/>
          <w:sz w:val="21"/>
          <w:szCs w:val="21"/>
        </w:rPr>
        <w:t xml:space="preserve">This section is for business users who supply the source data. It explains exactly what to do to have next week's report reflect the latest data, and what happens if the process is not followed.</w:t>
      </w:r>
    </w:p>
    <w:p>
      <w:pPr>
        <w:pStyle w:val="Heading2"/>
        <w:spacing w:after="120" w:before="280"/>
      </w:pPr>
      <w:r>
        <w:rPr>
          <w:b/>
          <w:bCs/>
          <w:color w:val="1F3864"/>
          <w:sz w:val="24"/>
          <w:szCs w:val="24"/>
        </w:rPr>
        <w:t xml:space="preserve">6.1 What You Need to Do</w:t>
      </w:r>
    </w:p>
    <w:p>
      <w:pPr>
        <w:pStyle w:val="ListParagraph"/>
        <w:numPr>
          <w:ilvl w:val="0"/>
          <w:numId w:val="5"/>
        </w:numPr>
        <w:spacing w:after="80"/>
      </w:pPr>
      <w:r>
        <w:rPr>
          <w:color w:val="222222"/>
          <w:sz w:val="21"/>
          <w:szCs w:val="21"/>
        </w:rPr>
        <w:t xml:space="preserve">Prepare each of the 6 dataset files according to the naming convention in the table below.</w:t>
      </w:r>
    </w:p>
    <w:p>
      <w:pPr>
        <w:pStyle w:val="ListParagraph"/>
        <w:numPr>
          <w:ilvl w:val="0"/>
          <w:numId w:val="5"/>
        </w:numPr>
        <w:spacing w:after="80"/>
      </w:pPr>
      <w:r>
        <w:rPr>
          <w:color w:val="222222"/>
          <w:sz w:val="21"/>
          <w:szCs w:val="21"/>
        </w:rPr>
        <w:t xml:space="preserve">Upload all 6 files to the shared SharePoint location: [Placeholder: SharePoint site / folder path].</w:t>
      </w:r>
    </w:p>
    <w:p>
      <w:pPr>
        <w:pStyle w:val="ListParagraph"/>
        <w:numPr>
          <w:ilvl w:val="0"/>
          <w:numId w:val="5"/>
        </w:numPr>
        <w:spacing w:after="80"/>
      </w:pPr>
      <w:r>
        <w:rPr>
          <w:color w:val="222222"/>
          <w:sz w:val="21"/>
          <w:szCs w:val="21"/>
        </w:rPr>
        <w:t xml:space="preserve">Ensure all 6 files are uploaded before the weekly cutoff – every Tuesday, 5:00 PM PST. Files uploaded after this time will not be picked up until the following week's run.</w:t>
      </w:r>
    </w:p>
    <w:p>
      <w:pPr>
        <w:pStyle w:val="ListParagraph"/>
        <w:numPr>
          <w:ilvl w:val="0"/>
          <w:numId w:val="5"/>
        </w:numPr>
        <w:spacing w:after="80"/>
      </w:pPr>
      <w:r>
        <w:rPr>
          <w:color w:val="222222"/>
          <w:sz w:val="21"/>
          <w:szCs w:val="21"/>
        </w:rPr>
        <w:t xml:space="preserve">Do not rename, move, or delete files while the pipeline is expected to be running (around the scheduled trigger time).</w:t>
      </w:r>
    </w:p>
    <w:p>
      <w:pPr>
        <w:pStyle w:val="ListParagraph"/>
        <w:numPr>
          <w:ilvl w:val="0"/>
          <w:numId w:val="5"/>
        </w:numPr>
        <w:spacing w:after="80"/>
      </w:pPr>
      <w:r>
        <w:rPr>
          <w:color w:val="222222"/>
          <w:sz w:val="21"/>
          <w:szCs w:val="21"/>
        </w:rPr>
        <w:t xml:space="preserve">If a file must be corrected after upload, replace it (same file name) before the Tuesday 5:00 PM PST cutoff.</w:t>
      </w:r>
    </w:p>
    <w:p>
      <w:pPr>
        <w:pStyle w:val="Heading2"/>
        <w:spacing w:after="120" w:before="280"/>
      </w:pPr>
      <w:r>
        <w:rPr>
          <w:b/>
          <w:bCs/>
          <w:color w:val="1F3864"/>
          <w:sz w:val="24"/>
          <w:szCs w:val="24"/>
        </w:rPr>
        <w:t xml:space="preserve">6.2 File Naming Convention – All 6 Datasets</w:t>
      </w:r>
    </w:p>
    <w:p>
      <w:pPr>
        <w:spacing w:after="160" w:line="276"/>
      </w:pPr>
      <w:r>
        <w:rPr>
          <w:b w:val="false"/>
          <w:bCs w:val="false"/>
          <w:i w:val="false"/>
          <w:iCs w:val="false"/>
          <w:color w:val="222222"/>
          <w:sz w:val="21"/>
          <w:szCs w:val="21"/>
        </w:rPr>
        <w:t xml:space="preserve">Replace the placeholders below with the confirmed dataset names and naming patterns for your environment.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400"/>
        <w:gridCol w:w="2600"/>
        <w:gridCol w:w="2800"/>
        <w:gridCol w:w="2600"/>
      </w:tblGrid>
      <w:tr>
        <w:tc>
          <w:tcPr>
            <w:tcW w:type="dxa" w:w="1400"/>
            <w:shd w:fill="1F3864" w:val="clear"/>
            <w:tcMar>
              <w:top w:type="dxa" w:w="80"/>
              <w:left w:type="dxa" w:w="100"/>
              <w:bottom w:type="dxa" w:w="80"/>
              <w:right w:type="dxa" w:w="100"/>
            </w:tcMar>
            <w:vAlign w:val="center"/>
          </w:tcPr>
          <w:p>
            <w:r>
              <w:rPr>
                <w:b/>
                <w:bCs/>
                <w:color w:val="FFFFFF"/>
                <w:sz w:val="20"/>
                <w:szCs w:val="20"/>
              </w:rPr>
              <w:t xml:space="preserve">#</w:t>
            </w:r>
          </w:p>
        </w:tc>
        <w:tc>
          <w:tcPr>
            <w:tcW w:type="dxa" w:w="2600"/>
            <w:shd w:fill="1F3864" w:val="clear"/>
            <w:tcMar>
              <w:top w:type="dxa" w:w="80"/>
              <w:left w:type="dxa" w:w="100"/>
              <w:bottom w:type="dxa" w:w="80"/>
              <w:right w:type="dxa" w:w="100"/>
            </w:tcMar>
            <w:vAlign w:val="center"/>
          </w:tcPr>
          <w:p>
            <w:r>
              <w:rPr>
                <w:b/>
                <w:bCs/>
                <w:color w:val="FFFFFF"/>
                <w:sz w:val="20"/>
                <w:szCs w:val="20"/>
              </w:rPr>
              <w:t xml:space="preserve">Dataset</w:t>
            </w:r>
          </w:p>
        </w:tc>
        <w:tc>
          <w:tcPr>
            <w:tcW w:type="dxa" w:w="2800"/>
            <w:shd w:fill="1F3864" w:val="clear"/>
            <w:tcMar>
              <w:top w:type="dxa" w:w="80"/>
              <w:left w:type="dxa" w:w="100"/>
              <w:bottom w:type="dxa" w:w="80"/>
              <w:right w:type="dxa" w:w="100"/>
            </w:tcMar>
            <w:vAlign w:val="center"/>
          </w:tcPr>
          <w:p>
            <w:r>
              <w:rPr>
                <w:b/>
                <w:bCs/>
                <w:color w:val="FFFFFF"/>
                <w:sz w:val="20"/>
                <w:szCs w:val="20"/>
              </w:rPr>
              <w:t xml:space="preserve">Required File Name</w:t>
            </w:r>
          </w:p>
        </w:tc>
        <w:tc>
          <w:tcPr>
            <w:tcW w:type="dxa" w:w="2600"/>
            <w:shd w:fill="1F3864" w:val="clear"/>
            <w:tcMar>
              <w:top w:type="dxa" w:w="80"/>
              <w:left w:type="dxa" w:w="100"/>
              <w:bottom w:type="dxa" w:w="80"/>
              <w:right w:type="dxa" w:w="100"/>
            </w:tcMar>
            <w:vAlign w:val="center"/>
          </w:tcPr>
          <w:p>
            <w:r>
              <w:rPr>
                <w:b/>
                <w:bCs/>
                <w:color w:val="FFFFFF"/>
                <w:sz w:val="20"/>
                <w:szCs w:val="20"/>
              </w:rPr>
              <w:t xml:space="preserve">Format</w:t>
            </w:r>
          </w:p>
        </w:tc>
      </w:tr>
      <w:tr>
        <w:tc>
          <w:tcPr>
            <w:tcW w:type="dxa" w:w="1400"/>
            <w:tcMar>
              <w:top w:type="dxa" w:w="80"/>
              <w:left w:type="dxa" w:w="100"/>
              <w:bottom w:type="dxa" w:w="80"/>
              <w:right w:type="dxa" w:w="100"/>
            </w:tcMar>
            <w:vAlign w:val="center"/>
          </w:tcPr>
          <w:p>
            <w:r>
              <w:rPr>
                <w:b w:val="false"/>
                <w:bCs w:val="false"/>
                <w:color w:val="222222"/>
                <w:sz w:val="20"/>
                <w:szCs w:val="20"/>
              </w:rPr>
              <w:t xml:space="preserve">1</w:t>
            </w:r>
          </w:p>
        </w:tc>
        <w:tc>
          <w:tcPr>
            <w:tcW w:type="dxa" w:w="2600"/>
            <w:tcMar>
              <w:top w:type="dxa" w:w="80"/>
              <w:left w:type="dxa" w:w="100"/>
              <w:bottom w:type="dxa" w:w="80"/>
              <w:right w:type="dxa" w:w="100"/>
            </w:tcMar>
            <w:vAlign w:val="center"/>
          </w:tcPr>
          <w:p>
            <w:r>
              <w:rPr>
                <w:b w:val="false"/>
                <w:bCs w:val="false"/>
                <w:color w:val="222222"/>
                <w:sz w:val="20"/>
                <w:szCs w:val="20"/>
              </w:rPr>
              <w:t xml:space="preserve">[Placeholder – Dataset 1 Name]</w:t>
            </w:r>
          </w:p>
        </w:tc>
        <w:tc>
          <w:tcPr>
            <w:tcW w:type="dxa" w:w="2800"/>
            <w:tcMar>
              <w:top w:type="dxa" w:w="80"/>
              <w:left w:type="dxa" w:w="100"/>
              <w:bottom w:type="dxa" w:w="80"/>
              <w:right w:type="dxa" w:w="100"/>
            </w:tcMar>
            <w:vAlign w:val="center"/>
          </w:tcPr>
          <w:p>
            <w:r>
              <w:rPr>
                <w:b w:val="false"/>
                <w:bCs w:val="false"/>
                <w:color w:val="222222"/>
                <w:sz w:val="20"/>
                <w:szCs w:val="20"/>
              </w:rPr>
              <w:t xml:space="preserve">[Placeholder – e.g., Dataset1_&lt;YYYYMMDD&gt;.csv]</w:t>
            </w:r>
          </w:p>
        </w:tc>
        <w:tc>
          <w:tcPr>
            <w:tcW w:type="dxa" w:w="2600"/>
            <w:tcMar>
              <w:top w:type="dxa" w:w="80"/>
              <w:left w:type="dxa" w:w="100"/>
              <w:bottom w:type="dxa" w:w="80"/>
              <w:right w:type="dxa" w:w="100"/>
            </w:tcMar>
            <w:vAlign w:val="center"/>
          </w:tcPr>
          <w:p>
            <w:r>
              <w:rPr>
                <w:b w:val="false"/>
                <w:bCs w:val="false"/>
                <w:color w:val="222222"/>
                <w:sz w:val="20"/>
                <w:szCs w:val="20"/>
              </w:rPr>
              <w:t xml:space="preserve">CSV / ZIP</w:t>
            </w:r>
          </w:p>
        </w:tc>
      </w:tr>
      <w:tr>
        <w:tc>
          <w:tcPr>
            <w:tcW w:type="dxa" w:w="1400"/>
            <w:shd w:fill="F2F2F2" w:val="clear"/>
            <w:tcMar>
              <w:top w:type="dxa" w:w="80"/>
              <w:left w:type="dxa" w:w="100"/>
              <w:bottom w:type="dxa" w:w="80"/>
              <w:right w:type="dxa" w:w="100"/>
            </w:tcMar>
            <w:vAlign w:val="center"/>
          </w:tcPr>
          <w:p>
            <w:r>
              <w:rPr>
                <w:b w:val="false"/>
                <w:bCs w:val="false"/>
                <w:color w:val="222222"/>
                <w:sz w:val="20"/>
                <w:szCs w:val="20"/>
              </w:rPr>
              <w:t xml:space="preserve">2</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[Placeholder – Dataset 2 Name]</w:t>
            </w:r>
          </w:p>
        </w:tc>
        <w:tc>
          <w:tcPr>
            <w:tcW w:type="dxa" w:w="28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CSV / ZIP</w:t>
            </w:r>
          </w:p>
        </w:tc>
      </w:tr>
      <w:tr>
        <w:tc>
          <w:tcPr>
            <w:tcW w:type="dxa" w:w="1400"/>
            <w:tcMar>
              <w:top w:type="dxa" w:w="80"/>
              <w:left w:type="dxa" w:w="100"/>
              <w:bottom w:type="dxa" w:w="80"/>
              <w:right w:type="dxa" w:w="100"/>
            </w:tcMar>
            <w:vAlign w:val="center"/>
          </w:tcPr>
          <w:p>
            <w:r>
              <w:rPr>
                <w:b w:val="false"/>
                <w:bCs w:val="false"/>
                <w:color w:val="222222"/>
                <w:sz w:val="20"/>
                <w:szCs w:val="20"/>
              </w:rPr>
              <w:t xml:space="preserve">3</w:t>
            </w:r>
          </w:p>
        </w:tc>
        <w:tc>
          <w:tcPr>
            <w:tcW w:type="dxa" w:w="2600"/>
            <w:tcMar>
              <w:top w:type="dxa" w:w="80"/>
              <w:left w:type="dxa" w:w="100"/>
              <w:bottom w:type="dxa" w:w="80"/>
              <w:right w:type="dxa" w:w="100"/>
            </w:tcMar>
            <w:vAlign w:val="center"/>
          </w:tcPr>
          <w:p>
            <w:r>
              <w:rPr>
                <w:b w:val="false"/>
                <w:bCs w:val="false"/>
                <w:color w:val="222222"/>
                <w:sz w:val="20"/>
                <w:szCs w:val="20"/>
              </w:rPr>
              <w:t xml:space="preserve">[Placeholder – Dataset 3 Name]</w:t>
            </w:r>
          </w:p>
        </w:tc>
        <w:tc>
          <w:tcPr>
            <w:tcW w:type="dxa" w:w="28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tcMar>
              <w:top w:type="dxa" w:w="80"/>
              <w:left w:type="dxa" w:w="100"/>
              <w:bottom w:type="dxa" w:w="80"/>
              <w:right w:type="dxa" w:w="100"/>
            </w:tcMar>
            <w:vAlign w:val="center"/>
          </w:tcPr>
          <w:p>
            <w:r>
              <w:rPr>
                <w:b w:val="false"/>
                <w:bCs w:val="false"/>
                <w:color w:val="222222"/>
                <w:sz w:val="20"/>
                <w:szCs w:val="20"/>
              </w:rPr>
              <w:t xml:space="preserve">CSV / ZIP</w:t>
            </w:r>
          </w:p>
        </w:tc>
      </w:tr>
      <w:tr>
        <w:tc>
          <w:tcPr>
            <w:tcW w:type="dxa" w:w="1400"/>
            <w:shd w:fill="F2F2F2" w:val="clear"/>
            <w:tcMar>
              <w:top w:type="dxa" w:w="80"/>
              <w:left w:type="dxa" w:w="100"/>
              <w:bottom w:type="dxa" w:w="80"/>
              <w:right w:type="dxa" w:w="100"/>
            </w:tcMar>
            <w:vAlign w:val="center"/>
          </w:tcPr>
          <w:p>
            <w:r>
              <w:rPr>
                <w:b w:val="false"/>
                <w:bCs w:val="false"/>
                <w:color w:val="222222"/>
                <w:sz w:val="20"/>
                <w:szCs w:val="20"/>
              </w:rPr>
              <w:t xml:space="preserve">4</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[Placeholder – Dataset 4 Name]</w:t>
            </w:r>
          </w:p>
        </w:tc>
        <w:tc>
          <w:tcPr>
            <w:tcW w:type="dxa" w:w="28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CSV / ZIP</w:t>
            </w:r>
          </w:p>
        </w:tc>
      </w:tr>
      <w:tr>
        <w:tc>
          <w:tcPr>
            <w:tcW w:type="dxa" w:w="1400"/>
            <w:tcMar>
              <w:top w:type="dxa" w:w="80"/>
              <w:left w:type="dxa" w:w="100"/>
              <w:bottom w:type="dxa" w:w="80"/>
              <w:right w:type="dxa" w:w="100"/>
            </w:tcMar>
            <w:vAlign w:val="center"/>
          </w:tcPr>
          <w:p>
            <w:r>
              <w:rPr>
                <w:b w:val="false"/>
                <w:bCs w:val="false"/>
                <w:color w:val="222222"/>
                <w:sz w:val="20"/>
                <w:szCs w:val="20"/>
              </w:rPr>
              <w:t xml:space="preserve">5</w:t>
            </w:r>
          </w:p>
        </w:tc>
        <w:tc>
          <w:tcPr>
            <w:tcW w:type="dxa" w:w="2600"/>
            <w:tcMar>
              <w:top w:type="dxa" w:w="80"/>
              <w:left w:type="dxa" w:w="100"/>
              <w:bottom w:type="dxa" w:w="80"/>
              <w:right w:type="dxa" w:w="100"/>
            </w:tcMar>
            <w:vAlign w:val="center"/>
          </w:tcPr>
          <w:p>
            <w:r>
              <w:rPr>
                <w:b w:val="false"/>
                <w:bCs w:val="false"/>
                <w:color w:val="222222"/>
                <w:sz w:val="20"/>
                <w:szCs w:val="20"/>
              </w:rPr>
              <w:t xml:space="preserve">[Placeholder – Dataset 5 Name]</w:t>
            </w:r>
          </w:p>
        </w:tc>
        <w:tc>
          <w:tcPr>
            <w:tcW w:type="dxa" w:w="28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tcMar>
              <w:top w:type="dxa" w:w="80"/>
              <w:left w:type="dxa" w:w="100"/>
              <w:bottom w:type="dxa" w:w="80"/>
              <w:right w:type="dxa" w:w="100"/>
            </w:tcMar>
            <w:vAlign w:val="center"/>
          </w:tcPr>
          <w:p>
            <w:r>
              <w:rPr>
                <w:b w:val="false"/>
                <w:bCs w:val="false"/>
                <w:color w:val="222222"/>
                <w:sz w:val="20"/>
                <w:szCs w:val="20"/>
              </w:rPr>
              <w:t xml:space="preserve">CSV / ZIP</w:t>
            </w:r>
          </w:p>
        </w:tc>
      </w:tr>
      <w:tr>
        <w:tc>
          <w:tcPr>
            <w:tcW w:type="dxa" w:w="1400"/>
            <w:shd w:fill="F2F2F2" w:val="clear"/>
            <w:tcMar>
              <w:top w:type="dxa" w:w="80"/>
              <w:left w:type="dxa" w:w="100"/>
              <w:bottom w:type="dxa" w:w="80"/>
              <w:right w:type="dxa" w:w="100"/>
            </w:tcMar>
            <w:vAlign w:val="center"/>
          </w:tcPr>
          <w:p>
            <w:r>
              <w:rPr>
                <w:b w:val="false"/>
                <w:bCs w:val="false"/>
                <w:color w:val="222222"/>
                <w:sz w:val="20"/>
                <w:szCs w:val="20"/>
              </w:rPr>
              <w:t xml:space="preserve">6</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[Placeholder – Dataset 6 Name]</w:t>
            </w:r>
          </w:p>
        </w:tc>
        <w:tc>
          <w:tcPr>
            <w:tcW w:type="dxa" w:w="28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2600"/>
            <w:shd w:fill="F2F2F2" w:val="clear"/>
            <w:tcMar>
              <w:top w:type="dxa" w:w="80"/>
              <w:left w:type="dxa" w:w="100"/>
              <w:bottom w:type="dxa" w:w="80"/>
              <w:right w:type="dxa" w:w="100"/>
            </w:tcMar>
            <w:vAlign w:val="center"/>
          </w:tcPr>
          <w:p>
            <w:r>
              <w:rPr>
                <w:b w:val="false"/>
                <w:bCs w:val="false"/>
                <w:color w:val="222222"/>
                <w:sz w:val="20"/>
                <w:szCs w:val="20"/>
              </w:rPr>
              <w:t xml:space="preserve">CSV / ZIP</w:t>
            </w:r>
          </w:p>
        </w:tc>
      </w:tr>
    </w:tbl>
    <w:p>
      <w:pPr>
        <w:pBdr>
          <w:left w:val="single" w:color="E8A33D" w:sz="18" w:space="8"/>
        </w:pBdr>
        <w:shd w:fill="FFF4E5" w:val="clear"/>
        <w:spacing w:after="200" w:before="100"/>
        <w:ind w:left="100"/>
      </w:pPr>
      <w:r>
        <w:rPr>
          <w:i/>
          <w:iCs/>
          <w:color w:val="6B4A00"/>
          <w:sz w:val="20"/>
          <w:szCs w:val="20"/>
        </w:rPr>
        <w:t xml:space="preserve">Note: File names must match exactly, including case and extension. A mismatched or missing file will cause that dataset to be skipped or the pipeline to fail validation, resulting in stale/missing data for that section of the report.</w:t>
      </w:r>
    </w:p>
    <w:p>
      <w:pPr>
        <w:pStyle w:val="Heading2"/>
        <w:spacing w:after="120" w:before="280"/>
      </w:pPr>
      <w:r>
        <w:rPr>
          <w:b/>
          <w:bCs/>
          <w:color w:val="1F3864"/>
          <w:sz w:val="24"/>
          <w:szCs w:val="24"/>
        </w:rPr>
        <w:t xml:space="preserve">6.3 When &amp; How You Will See the Updated Report</w:t>
      </w:r>
    </w:p>
    <w:p>
      <w:pPr>
        <w:pStyle w:val="ListParagraph"/>
        <w:numPr>
          <w:ilvl w:val="0"/>
          <w:numId w:val="2"/>
        </w:numPr>
        <w:spacing w:after="80"/>
      </w:pPr>
      <w:r>
        <w:rPr>
          <w:color w:val="222222"/>
          <w:sz w:val="21"/>
          <w:szCs w:val="21"/>
        </w:rPr>
        <w:t xml:space="preserve">The ADF pipeline runs automatically every Tuesday at 5:00 PM PST.</w:t>
      </w:r>
    </w:p>
    <w:p>
      <w:pPr>
        <w:pStyle w:val="ListParagraph"/>
        <w:numPr>
          <w:ilvl w:val="0"/>
          <w:numId w:val="2"/>
        </w:numPr>
        <w:spacing w:after="80"/>
      </w:pPr>
      <w:r>
        <w:rPr>
          <w:color w:val="222222"/>
          <w:sz w:val="21"/>
          <w:szCs w:val="21"/>
        </w:rPr>
        <w:t xml:space="preserve">Once the pipeline completes successfully, it triggers a refresh of the Power BI semantic model automatically – no manual action is required in Power BI.</w:t>
      </w:r>
    </w:p>
    <w:p>
      <w:pPr>
        <w:pStyle w:val="ListParagraph"/>
        <w:numPr>
          <w:ilvl w:val="0"/>
          <w:numId w:val="2"/>
        </w:numPr>
        <w:spacing w:after="80"/>
      </w:pPr>
      <w:r>
        <w:rPr>
          <w:color w:val="222222"/>
          <w:sz w:val="21"/>
          <w:szCs w:val="21"/>
        </w:rPr>
        <w:t xml:space="preserve">You can simply open the Power BI report as usual; it will reflect the latest data once the pipeline and refresh have completed. [Placeholder: typical completion time, e.g., "usually available by 6:00 PM PST"].</w:t>
      </w:r>
    </w:p>
    <w:p>
      <w:pPr>
        <w:pStyle w:val="ListParagraph"/>
        <w:numPr>
          <w:ilvl w:val="0"/>
          <w:numId w:val="2"/>
        </w:numPr>
        <w:spacing w:after="80"/>
      </w:pPr>
      <w:r>
        <w:rPr>
          <w:color w:val="222222"/>
          <w:sz w:val="21"/>
          <w:szCs w:val="21"/>
        </w:rPr>
        <w:t xml:space="preserve">There is no need to manually refresh the report or the semantic model.</w:t>
      </w:r>
    </w:p>
    <w:p>
      <w:pPr>
        <w:pStyle w:val="Heading2"/>
        <w:spacing w:after="120" w:before="280"/>
      </w:pPr>
      <w:r>
        <w:rPr>
          <w:b/>
          <w:bCs/>
          <w:color w:val="1F3864"/>
          <w:sz w:val="24"/>
          <w:szCs w:val="24"/>
        </w:rPr>
        <w:t xml:space="preserve">6.4 What Happens If Files Are Missing or Incorrectly Named</w:t>
      </w:r>
    </w:p>
    <w:p>
      <w:pPr>
        <w:spacing w:after="160" w:line="276"/>
      </w:pPr>
      <w:r>
        <w:rPr>
          <w:b w:val="false"/>
          <w:bCs w:val="false"/>
          <w:i w:val="false"/>
          <w:iCs w:val="false"/>
          <w:color w:val="222222"/>
          <w:sz w:val="21"/>
          <w:szCs w:val="21"/>
        </w:rPr>
        <w:t xml:space="preserve">If one or more of the 6 required files is missing, incorrectly named, or fails validation at the scheduled run time:</w:t>
      </w:r>
    </w:p>
    <w:p>
      <w:pPr>
        <w:pStyle w:val="ListParagraph"/>
        <w:numPr>
          <w:ilvl w:val="0"/>
          <w:numId w:val="2"/>
        </w:numPr>
        <w:spacing w:after="80"/>
      </w:pPr>
      <w:r>
        <w:rPr>
          <w:color w:val="222222"/>
          <w:sz w:val="21"/>
          <w:szCs w:val="21"/>
        </w:rPr>
        <w:t xml:space="preserve">The pipeline will either skip the affected dataset or fail, depending on configuration [Placeholder – confirm actual behavior].</w:t>
      </w:r>
    </w:p>
    <w:p>
      <w:pPr>
        <w:pStyle w:val="ListParagraph"/>
        <w:numPr>
          <w:ilvl w:val="0"/>
          <w:numId w:val="2"/>
        </w:numPr>
        <w:spacing w:after="80"/>
      </w:pPr>
      <w:r>
        <w:rPr>
          <w:color w:val="222222"/>
          <w:sz w:val="21"/>
          <w:szCs w:val="21"/>
        </w:rPr>
        <w:t xml:space="preserve">The semantic model will not be refreshed with new data for that dataset.</w:t>
      </w:r>
    </w:p>
    <w:p>
      <w:pPr>
        <w:pStyle w:val="ListParagraph"/>
        <w:numPr>
          <w:ilvl w:val="0"/>
          <w:numId w:val="2"/>
        </w:numPr>
        <w:spacing w:after="80"/>
      </w:pPr>
      <w:r>
        <w:rPr>
          <w:color w:val="222222"/>
          <w:sz w:val="21"/>
          <w:szCs w:val="21"/>
        </w:rPr>
        <w:t xml:space="preserve">The report will continue to display the previous week's data for the affected section(s) – i.e., it will appear to show “missing” or stale data for that dataset until the next successful run.</w:t>
      </w:r>
    </w:p>
    <w:p>
      <w:pPr>
        <w:pStyle w:val="ListParagraph"/>
        <w:numPr>
          <w:ilvl w:val="0"/>
          <w:numId w:val="2"/>
        </w:numPr>
        <w:spacing w:after="80"/>
      </w:pPr>
      <w:r>
        <w:rPr>
          <w:color w:val="222222"/>
          <w:sz w:val="21"/>
          <w:szCs w:val="21"/>
        </w:rPr>
        <w:t xml:space="preserve">[Placeholder: who is notified on failure, and how users can request an off-cycle/manual rerun]</w:t>
      </w:r>
    </w:p>
    <w:p>
      <w:r>
        <w:br w:type="page"/>
      </w:r>
    </w:p>
    <w:p>
      <w:pPr>
        <w:pStyle w:val="Heading1"/>
        <w:pBdr>
          <w:bottom w:val="single" w:color="2E74B5" w:sz="6" w:space="4"/>
        </w:pBdr>
        <w:spacing w:after="160" w:before="360"/>
      </w:pPr>
      <w:r>
        <w:rPr>
          <w:b/>
          <w:bCs/>
          <w:color w:val="1F3864"/>
          <w:sz w:val="30"/>
          <w:szCs w:val="30"/>
        </w:rPr>
        <w:t xml:space="preserve">7. Data Source &amp; DAX Changes</w:t>
      </w:r>
    </w:p>
    <w:p>
      <w:pPr>
        <w:pStyle w:val="Heading2"/>
        <w:spacing w:after="120" w:before="280"/>
      </w:pPr>
      <w:r>
        <w:rPr>
          <w:b/>
          <w:bCs/>
          <w:color w:val="1F3864"/>
          <w:sz w:val="24"/>
          <w:szCs w:val="24"/>
        </w:rPr>
        <w:t xml:space="preserve">7.1 Summary of Change</w:t>
      </w:r>
    </w:p>
    <w:p>
      <w:pPr>
        <w:spacing w:after="160" w:line="276"/>
      </w:pPr>
      <w:r>
        <w:rPr>
          <w:b w:val="false"/>
          <w:bCs w:val="false"/>
          <w:i w:val="false"/>
          <w:iCs w:val="false"/>
          <w:color w:val="222222"/>
          <w:sz w:val="21"/>
          <w:szCs w:val="21"/>
        </w:rPr>
        <w:t xml:space="preserve">As part of the migration, the Power Query (M) connection logic behind each table in the semantic model was updated to point to the new Fabric Lakehouse Delta tables instead of local file paths. This was a connection-layer change only.</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2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Aspect</w:t>
            </w:r>
          </w:p>
        </w:tc>
        <w:tc>
          <w:tcPr>
            <w:tcW w:type="dxa" w:w="3200"/>
            <w:shd w:fill="1F3864" w:val="clear"/>
            <w:tcMar>
              <w:top w:type="dxa" w:w="80"/>
              <w:left w:type="dxa" w:w="100"/>
              <w:bottom w:type="dxa" w:w="80"/>
              <w:right w:type="dxa" w:w="100"/>
            </w:tcMar>
            <w:vAlign w:val="center"/>
          </w:tcPr>
          <w:p>
            <w:r>
              <w:rPr>
                <w:b/>
                <w:bCs/>
                <w:color w:val="FFFFFF"/>
                <w:sz w:val="20"/>
                <w:szCs w:val="20"/>
              </w:rPr>
              <w:t xml:space="preserve">Before (Legacy)</w:t>
            </w:r>
          </w:p>
        </w:tc>
        <w:tc>
          <w:tcPr>
            <w:tcW w:type="dxa" w:w="3200"/>
            <w:shd w:fill="1F3864" w:val="clear"/>
            <w:tcMar>
              <w:top w:type="dxa" w:w="80"/>
              <w:left w:type="dxa" w:w="100"/>
              <w:bottom w:type="dxa" w:w="80"/>
              <w:right w:type="dxa" w:w="100"/>
            </w:tcMar>
            <w:vAlign w:val="center"/>
          </w:tcPr>
          <w:p>
            <w:r>
              <w:rPr>
                <w:b/>
                <w:bCs/>
                <w:color w:val="FFFFFF"/>
                <w:sz w:val="20"/>
                <w:szCs w:val="20"/>
              </w:rPr>
              <w:t xml:space="preserve">After (Fabric)</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Data source</w:t>
            </w:r>
          </w:p>
        </w:tc>
        <w:tc>
          <w:tcPr>
            <w:tcW w:type="dxa" w:w="3200"/>
            <w:tcMar>
              <w:top w:type="dxa" w:w="80"/>
              <w:left w:type="dxa" w:w="100"/>
              <w:bottom w:type="dxa" w:w="80"/>
              <w:right w:type="dxa" w:w="100"/>
            </w:tcMar>
            <w:vAlign w:val="center"/>
          </w:tcPr>
          <w:p>
            <w:r>
              <w:rPr>
                <w:b w:val="false"/>
                <w:bCs w:val="false"/>
                <w:color w:val="222222"/>
                <w:sz w:val="20"/>
                <w:szCs w:val="20"/>
              </w:rPr>
              <w:t xml:space="preserve">Local file system (CSV/Excel on user's machine)</w:t>
            </w:r>
          </w:p>
        </w:tc>
        <w:tc>
          <w:tcPr>
            <w:tcW w:type="dxa" w:w="3200"/>
            <w:tcMar>
              <w:top w:type="dxa" w:w="80"/>
              <w:left w:type="dxa" w:w="100"/>
              <w:bottom w:type="dxa" w:w="80"/>
              <w:right w:type="dxa" w:w="100"/>
            </w:tcMar>
            <w:vAlign w:val="center"/>
          </w:tcPr>
          <w:p>
            <w:r>
              <w:rPr>
                <w:b w:val="false"/>
                <w:bCs w:val="false"/>
                <w:color w:val="222222"/>
                <w:sz w:val="20"/>
                <w:szCs w:val="20"/>
              </w:rPr>
              <w:t xml:space="preserve">Fabric Lakehouse Delta tables</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Connector</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Local file / folder connector</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Fabric Lakehouse / SQL endpoint connector</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M query</w:t>
            </w:r>
          </w:p>
        </w:tc>
        <w:tc>
          <w:tcPr>
            <w:tcW w:type="dxa" w:w="3200"/>
            <w:tcMar>
              <w:top w:type="dxa" w:w="80"/>
              <w:left w:type="dxa" w:w="100"/>
              <w:bottom w:type="dxa" w:w="80"/>
              <w:right w:type="dxa" w:w="100"/>
            </w:tcMar>
            <w:vAlign w:val="center"/>
          </w:tcPr>
          <w:p>
            <w:r>
              <w:rPr>
                <w:b w:val="false"/>
                <w:bCs w:val="false"/>
                <w:color w:val="222222"/>
                <w:sz w:val="20"/>
                <w:szCs w:val="20"/>
              </w:rPr>
              <w:t xml:space="preserve">File path-based source step (e.g., File.Contents/Folder.Files)</w:t>
            </w:r>
          </w:p>
        </w:tc>
        <w:tc>
          <w:tcPr>
            <w:tcW w:type="dxa" w:w="3200"/>
            <w:tcMar>
              <w:top w:type="dxa" w:w="80"/>
              <w:left w:type="dxa" w:w="100"/>
              <w:bottom w:type="dxa" w:w="80"/>
              <w:right w:type="dxa" w:w="100"/>
            </w:tcMar>
            <w:vAlign w:val="center"/>
          </w:tcPr>
          <w:p>
            <w:r>
              <w:rPr>
                <w:b w:val="false"/>
                <w:bCs w:val="false"/>
                <w:color w:val="222222"/>
                <w:sz w:val="20"/>
                <w:szCs w:val="20"/>
              </w:rPr>
              <w:t xml:space="preserve">Lakehouse.Contents / SQL endpoint-based source step pointing to Delta tables</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Table/column names</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Unchanged</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Unchanged</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DAX measures</w:t>
            </w:r>
          </w:p>
        </w:tc>
        <w:tc>
          <w:tcPr>
            <w:tcW w:type="dxa" w:w="3200"/>
            <w:tcMar>
              <w:top w:type="dxa" w:w="80"/>
              <w:left w:type="dxa" w:w="100"/>
              <w:bottom w:type="dxa" w:w="80"/>
              <w:right w:type="dxa" w:w="100"/>
            </w:tcMar>
            <w:vAlign w:val="center"/>
          </w:tcPr>
          <w:p>
            <w:r>
              <w:rPr>
                <w:b w:val="false"/>
                <w:bCs w:val="false"/>
                <w:color w:val="222222"/>
                <w:sz w:val="20"/>
                <w:szCs w:val="20"/>
              </w:rPr>
              <w:t xml:space="preserve">Unchanged</w:t>
            </w:r>
          </w:p>
        </w:tc>
        <w:tc>
          <w:tcPr>
            <w:tcW w:type="dxa" w:w="3200"/>
            <w:tcMar>
              <w:top w:type="dxa" w:w="80"/>
              <w:left w:type="dxa" w:w="100"/>
              <w:bottom w:type="dxa" w:w="80"/>
              <w:right w:type="dxa" w:w="100"/>
            </w:tcMar>
            <w:vAlign w:val="center"/>
          </w:tcPr>
          <w:p>
            <w:r>
              <w:rPr>
                <w:b w:val="false"/>
                <w:bCs w:val="false"/>
                <w:color w:val="222222"/>
                <w:sz w:val="20"/>
                <w:szCs w:val="20"/>
              </w:rPr>
              <w:t xml:space="preserve">Unchanged – no measures required rewriting</w:t>
            </w:r>
          </w:p>
        </w:tc>
      </w:tr>
    </w:tbl>
    <w:p>
      <w:pPr>
        <w:pStyle w:val="Heading2"/>
        <w:spacing w:after="120" w:before="280"/>
      </w:pPr>
      <w:r>
        <w:rPr>
          <w:b/>
          <w:bCs/>
          <w:color w:val="1F3864"/>
          <w:sz w:val="24"/>
          <w:szCs w:val="24"/>
        </w:rPr>
        <w:t xml:space="preserve">7.2 Impact</w:t>
      </w:r>
    </w:p>
    <w:p>
      <w:pPr>
        <w:pStyle w:val="ListParagraph"/>
        <w:numPr>
          <w:ilvl w:val="0"/>
          <w:numId w:val="2"/>
        </w:numPr>
        <w:spacing w:after="80"/>
      </w:pPr>
      <w:r>
        <w:rPr>
          <w:color w:val="222222"/>
          <w:sz w:val="21"/>
          <w:szCs w:val="21"/>
        </w:rPr>
        <w:t xml:space="preserve">Only the M query source step (connection/authentication) changed for each table; no table or column names changed.</w:t>
      </w:r>
    </w:p>
    <w:p>
      <w:pPr>
        <w:pStyle w:val="ListParagraph"/>
        <w:numPr>
          <w:ilvl w:val="0"/>
          <w:numId w:val="2"/>
        </w:numPr>
        <w:spacing w:after="80"/>
      </w:pPr>
      <w:r>
        <w:rPr>
          <w:color w:val="222222"/>
          <w:sz w:val="21"/>
          <w:szCs w:val="21"/>
        </w:rPr>
        <w:t xml:space="preserve">No DAX measures broke or required modification as a result of the migration.</w:t>
      </w:r>
    </w:p>
    <w:p>
      <w:pPr>
        <w:pStyle w:val="ListParagraph"/>
        <w:numPr>
          <w:ilvl w:val="0"/>
          <w:numId w:val="2"/>
        </w:numPr>
        <w:spacing w:after="80"/>
      </w:pPr>
      <w:r>
        <w:rPr>
          <w:color w:val="222222"/>
          <w:sz w:val="21"/>
          <w:szCs w:val="21"/>
        </w:rPr>
        <w:t xml:space="preserve">Report visuals, layout, and formatting remain unchanged.</w:t>
      </w:r>
    </w:p>
    <w:p>
      <w:pPr>
        <w:pStyle w:val="ListParagraph"/>
        <w:numPr>
          <w:ilvl w:val="0"/>
          <w:numId w:val="2"/>
        </w:numPr>
        <w:spacing w:after="80"/>
      </w:pPr>
      <w:r>
        <w:rPr>
          <w:color w:val="222222"/>
          <w:sz w:val="21"/>
          <w:szCs w:val="21"/>
        </w:rPr>
        <w:t xml:space="preserve">Data types/precision should be spot-checked after migration in case of subtle differences between the original file-based types and the Delta table schema [Placeholder – confirm during validation].</w:t>
      </w:r>
    </w:p>
    <w:p>
      <w:r>
        <w:br w:type="page"/>
      </w:r>
    </w:p>
    <w:p>
      <w:pPr>
        <w:pStyle w:val="Heading1"/>
        <w:pBdr>
          <w:bottom w:val="single" w:color="2E74B5" w:sz="6" w:space="4"/>
        </w:pBdr>
        <w:spacing w:after="160" w:before="360"/>
      </w:pPr>
      <w:r>
        <w:rPr>
          <w:b/>
          <w:bCs/>
          <w:color w:val="1F3864"/>
          <w:sz w:val="30"/>
          <w:szCs w:val="30"/>
        </w:rPr>
        <w:t xml:space="preserve">8. Validation &amp; Testing</w:t>
      </w:r>
    </w:p>
    <w:p>
      <w:pPr>
        <w:pStyle w:val="ListParagraph"/>
        <w:numPr>
          <w:ilvl w:val="0"/>
          <w:numId w:val="2"/>
        </w:numPr>
        <w:spacing w:after="80"/>
      </w:pPr>
      <w:r>
        <w:rPr>
          <w:color w:val="222222"/>
          <w:sz w:val="21"/>
          <w:szCs w:val="21"/>
        </w:rPr>
        <w:t xml:space="preserve">Row-count parity check between legacy local-file datasets and new Fabric Delta tables for all 6 datasets. [Placeholder: results/sign-off]</w:t>
      </w:r>
    </w:p>
    <w:p>
      <w:pPr>
        <w:pStyle w:val="ListParagraph"/>
        <w:numPr>
          <w:ilvl w:val="0"/>
          <w:numId w:val="2"/>
        </w:numPr>
        <w:spacing w:after="80"/>
      </w:pPr>
      <w:r>
        <w:rPr>
          <w:color w:val="222222"/>
          <w:sz w:val="21"/>
          <w:szCs w:val="21"/>
        </w:rPr>
        <w:t xml:space="preserve">Visual-by-visual comparison of the legacy report vs. the new report to confirm consistent figures. [Placeholder]</w:t>
      </w:r>
    </w:p>
    <w:p>
      <w:pPr>
        <w:pStyle w:val="ListParagraph"/>
        <w:numPr>
          <w:ilvl w:val="0"/>
          <w:numId w:val="2"/>
        </w:numPr>
        <w:spacing w:after="80"/>
      </w:pPr>
      <w:r>
        <w:rPr>
          <w:color w:val="222222"/>
          <w:sz w:val="21"/>
          <w:szCs w:val="21"/>
        </w:rPr>
        <w:t xml:space="preserve">DAX measure spot-checks against known totals. [Placeholder]</w:t>
      </w:r>
    </w:p>
    <w:p>
      <w:pPr>
        <w:pStyle w:val="ListParagraph"/>
        <w:numPr>
          <w:ilvl w:val="0"/>
          <w:numId w:val="2"/>
        </w:numPr>
        <w:spacing w:after="80"/>
      </w:pPr>
      <w:r>
        <w:rPr>
          <w:color w:val="222222"/>
          <w:sz w:val="21"/>
          <w:szCs w:val="21"/>
        </w:rPr>
        <w:t xml:space="preserve">End-to-end pipeline dry run to confirm timing and successful semantic model refresh. [Placeholder]</w:t>
      </w:r>
    </w:p>
    <w:p>
      <w:pPr>
        <w:pStyle w:val="ListParagraph"/>
        <w:numPr>
          <w:ilvl w:val="0"/>
          <w:numId w:val="2"/>
        </w:numPr>
        <w:spacing w:after="80"/>
      </w:pPr>
      <w:r>
        <w:rPr>
          <w:color w:val="222222"/>
          <w:sz w:val="21"/>
          <w:szCs w:val="21"/>
        </w:rPr>
        <w:t xml:space="preserve">Sign-off from business stakeholders. [Placeholder: name/date]</w:t>
      </w:r>
    </w:p>
    <w:p>
      <w:pPr>
        <w:pStyle w:val="Heading1"/>
        <w:pBdr>
          <w:bottom w:val="single" w:color="2E74B5" w:sz="6" w:space="4"/>
        </w:pBdr>
        <w:spacing w:after="160" w:before="360"/>
      </w:pPr>
      <w:r>
        <w:rPr>
          <w:b/>
          <w:bCs/>
          <w:color w:val="1F3864"/>
          <w:sz w:val="30"/>
          <w:szCs w:val="30"/>
        </w:rPr>
        <w:t xml:space="preserve">9. Security &amp; Access</w:t>
      </w:r>
    </w:p>
    <w:p>
      <w:pPr>
        <w:pStyle w:val="ListParagraph"/>
        <w:numPr>
          <w:ilvl w:val="0"/>
          <w:numId w:val="2"/>
        </w:numPr>
        <w:spacing w:after="80"/>
      </w:pPr>
      <w:r>
        <w:rPr>
          <w:color w:val="222222"/>
          <w:sz w:val="21"/>
          <w:szCs w:val="21"/>
        </w:rPr>
        <w:t xml:space="preserve">SharePoint upload access restricted to: [Placeholder]</w:t>
      </w:r>
    </w:p>
    <w:p>
      <w:pPr>
        <w:pStyle w:val="ListParagraph"/>
        <w:numPr>
          <w:ilvl w:val="0"/>
          <w:numId w:val="2"/>
        </w:numPr>
        <w:spacing w:after="80"/>
      </w:pPr>
      <w:r>
        <w:rPr>
          <w:color w:val="222222"/>
          <w:sz w:val="21"/>
          <w:szCs w:val="21"/>
        </w:rPr>
        <w:t xml:space="preserve">ADF authentication to SharePoint: [Placeholder – e.g., service principal / app registration]</w:t>
      </w:r>
    </w:p>
    <w:p>
      <w:pPr>
        <w:pStyle w:val="ListParagraph"/>
        <w:numPr>
          <w:ilvl w:val="0"/>
          <w:numId w:val="2"/>
        </w:numPr>
        <w:spacing w:after="80"/>
      </w:pPr>
      <w:r>
        <w:rPr>
          <w:color w:val="222222"/>
          <w:sz w:val="21"/>
          <w:szCs w:val="21"/>
        </w:rPr>
        <w:t xml:space="preserve">ADF authentication to Databricks: [Placeholder – e.g., PAT / Azure AD passthrough]</w:t>
      </w:r>
    </w:p>
    <w:p>
      <w:pPr>
        <w:pStyle w:val="ListParagraph"/>
        <w:numPr>
          <w:ilvl w:val="0"/>
          <w:numId w:val="2"/>
        </w:numPr>
        <w:spacing w:after="80"/>
      </w:pPr>
      <w:r>
        <w:rPr>
          <w:color w:val="222222"/>
          <w:sz w:val="21"/>
          <w:szCs w:val="21"/>
        </w:rPr>
        <w:t xml:space="preserve">ADF/Databricks authentication to Fabric: [Placeholder – e.g., service principal / managed identity]</w:t>
      </w:r>
    </w:p>
    <w:p>
      <w:pPr>
        <w:pStyle w:val="ListParagraph"/>
        <w:numPr>
          <w:ilvl w:val="0"/>
          <w:numId w:val="2"/>
        </w:numPr>
        <w:spacing w:after="80"/>
      </w:pPr>
      <w:r>
        <w:rPr>
          <w:color w:val="222222"/>
          <w:sz w:val="21"/>
          <w:szCs w:val="21"/>
        </w:rPr>
        <w:t xml:space="preserve">Fabric workspace roles: [Placeholder – Admin/Member/Contributor/Viewer assignments]</w:t>
      </w:r>
    </w:p>
    <w:p>
      <w:pPr>
        <w:pStyle w:val="Heading1"/>
        <w:pBdr>
          <w:bottom w:val="single" w:color="2E74B5" w:sz="6" w:space="4"/>
        </w:pBdr>
        <w:spacing w:after="160" w:before="360"/>
      </w:pPr>
      <w:r>
        <w:rPr>
          <w:b/>
          <w:bCs/>
          <w:color w:val="1F3864"/>
          <w:sz w:val="30"/>
          <w:szCs w:val="30"/>
        </w:rPr>
        <w:t xml:space="preserve">10. Appendix</w:t>
      </w:r>
    </w:p>
    <w:p>
      <w:pPr>
        <w:pStyle w:val="Heading2"/>
        <w:spacing w:after="120" w:before="280"/>
      </w:pPr>
      <w:r>
        <w:rPr>
          <w:b/>
          <w:bCs/>
          <w:color w:val="1F3864"/>
          <w:sz w:val="24"/>
          <w:szCs w:val="24"/>
        </w:rPr>
        <w:t xml:space="preserve">10.1 Contacts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200"/>
      </w:tblGrid>
      <w:tr>
        <w:tc>
          <w:tcPr>
            <w:tcW w:type="dxa" w:w="3000"/>
            <w:shd w:fill="1F3864" w:val="clear"/>
            <w:tcMar>
              <w:top w:type="dxa" w:w="80"/>
              <w:left w:type="dxa" w:w="100"/>
              <w:bottom w:type="dxa" w:w="80"/>
              <w:right w:type="dxa" w:w="100"/>
            </w:tcMar>
            <w:vAlign w:val="center"/>
          </w:tcPr>
          <w:p>
            <w:r>
              <w:rPr>
                <w:b/>
                <w:bCs/>
                <w:color w:val="FFFFFF"/>
                <w:sz w:val="20"/>
                <w:szCs w:val="20"/>
              </w:rPr>
              <w:t xml:space="preserve">Role</w:t>
            </w:r>
          </w:p>
        </w:tc>
        <w:tc>
          <w:tcPr>
            <w:tcW w:type="dxa" w:w="3200"/>
            <w:shd w:fill="1F3864" w:val="clear"/>
            <w:tcMar>
              <w:top w:type="dxa" w:w="80"/>
              <w:left w:type="dxa" w:w="100"/>
              <w:bottom w:type="dxa" w:w="80"/>
              <w:right w:type="dxa" w:w="100"/>
            </w:tcMar>
            <w:vAlign w:val="center"/>
          </w:tcPr>
          <w:p>
            <w:r>
              <w:rPr>
                <w:b/>
                <w:bCs/>
                <w:color w:val="FFFFFF"/>
                <w:sz w:val="20"/>
                <w:szCs w:val="20"/>
              </w:rPr>
              <w:t xml:space="preserve">Name</w:t>
            </w:r>
          </w:p>
        </w:tc>
        <w:tc>
          <w:tcPr>
            <w:tcW w:type="dxa" w:w="3200"/>
            <w:shd w:fill="1F3864" w:val="clear"/>
            <w:tcMar>
              <w:top w:type="dxa" w:w="80"/>
              <w:left w:type="dxa" w:w="100"/>
              <w:bottom w:type="dxa" w:w="80"/>
              <w:right w:type="dxa" w:w="100"/>
            </w:tcMar>
            <w:vAlign w:val="center"/>
          </w:tcPr>
          <w:p>
            <w:r>
              <w:rPr>
                <w:b/>
                <w:bCs/>
                <w:color w:val="FFFFFF"/>
                <w:sz w:val="20"/>
                <w:szCs w:val="20"/>
              </w:rPr>
              <w:t xml:space="preserve">Contact</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Data Engineering Owner</w:t>
            </w:r>
          </w:p>
        </w:tc>
        <w:tc>
          <w:tcPr>
            <w:tcW w:type="dxa" w:w="32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200"/>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3000"/>
            <w:shd w:fill="F2F2F2" w:val="clear"/>
            <w:tcMar>
              <w:top w:type="dxa" w:w="80"/>
              <w:left w:type="dxa" w:w="100"/>
              <w:bottom w:type="dxa" w:w="80"/>
              <w:right w:type="dxa" w:w="100"/>
            </w:tcMar>
            <w:vAlign w:val="center"/>
          </w:tcPr>
          <w:p>
            <w:r>
              <w:rPr>
                <w:b w:val="false"/>
                <w:bCs w:val="false"/>
                <w:color w:val="222222"/>
                <w:sz w:val="20"/>
                <w:szCs w:val="20"/>
              </w:rPr>
              <w:t xml:space="preserve">Power BI/Fabric Owner</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200"/>
            <w:shd w:fill="F2F2F2" w:val="clear"/>
            <w:tcMar>
              <w:top w:type="dxa" w:w="80"/>
              <w:left w:type="dxa" w:w="100"/>
              <w:bottom w:type="dxa" w:w="80"/>
              <w:right w:type="dxa" w:w="100"/>
            </w:tcMar>
            <w:vAlign w:val="center"/>
          </w:tcPr>
          <w:p>
            <w:r>
              <w:rPr>
                <w:b w:val="false"/>
                <w:bCs w:val="false"/>
                <w:color w:val="222222"/>
                <w:sz w:val="20"/>
                <w:szCs w:val="20"/>
              </w:rPr>
              <w:t xml:space="preserve">[Placeholder]</w:t>
            </w:r>
          </w:p>
        </w:tc>
      </w:tr>
      <w:tr>
        <w:tc>
          <w:tcPr>
            <w:tcW w:type="dxa" w:w="3000"/>
            <w:tcMar>
              <w:top w:type="dxa" w:w="80"/>
              <w:left w:type="dxa" w:w="100"/>
              <w:bottom w:type="dxa" w:w="80"/>
              <w:right w:type="dxa" w:w="100"/>
            </w:tcMar>
            <w:vAlign w:val="center"/>
          </w:tcPr>
          <w:p>
            <w:r>
              <w:rPr>
                <w:b w:val="false"/>
                <w:bCs w:val="false"/>
                <w:color w:val="222222"/>
                <w:sz w:val="20"/>
                <w:szCs w:val="20"/>
              </w:rPr>
              <w:t xml:space="preserve">Business Owner</w:t>
            </w:r>
          </w:p>
        </w:tc>
        <w:tc>
          <w:tcPr>
            <w:tcW w:type="dxa" w:w="3200"/>
            <w:tcMar>
              <w:top w:type="dxa" w:w="80"/>
              <w:left w:type="dxa" w:w="100"/>
              <w:bottom w:type="dxa" w:w="80"/>
              <w:right w:type="dxa" w:w="100"/>
            </w:tcMar>
            <w:vAlign w:val="center"/>
          </w:tcPr>
          <w:p>
            <w:r>
              <w:rPr>
                <w:b w:val="false"/>
                <w:bCs w:val="false"/>
                <w:color w:val="222222"/>
                <w:sz w:val="20"/>
                <w:szCs w:val="20"/>
              </w:rPr>
              <w:t xml:space="preserve">[Placeholder]</w:t>
            </w:r>
          </w:p>
        </w:tc>
        <w:tc>
          <w:tcPr>
            <w:tcW w:type="dxa" w:w="3200"/>
            <w:tcMar>
              <w:top w:type="dxa" w:w="80"/>
              <w:left w:type="dxa" w:w="100"/>
              <w:bottom w:type="dxa" w:w="80"/>
              <w:right w:type="dxa" w:w="100"/>
            </w:tcMar>
            <w:vAlign w:val="center"/>
          </w:tcPr>
          <w:p>
            <w:r>
              <w:rPr>
                <w:b w:val="false"/>
                <w:bCs w:val="false"/>
                <w:color w:val="222222"/>
                <w:sz w:val="20"/>
                <w:szCs w:val="20"/>
              </w:rPr>
              <w:t xml:space="preserve">[Placeholder]</w:t>
            </w:r>
          </w:p>
        </w:tc>
      </w:tr>
    </w:tbl>
    <w:p>
      <w:pPr>
        <w:pStyle w:val="Heading2"/>
        <w:spacing w:after="120" w:before="280"/>
      </w:pPr>
      <w:r>
        <w:rPr>
          <w:b/>
          <w:bCs/>
          <w:color w:val="1F3864"/>
          <w:sz w:val="24"/>
          <w:szCs w:val="24"/>
        </w:rPr>
        <w:t xml:space="preserve">10.2 Glossary</w:t>
      </w:r>
    </w:p>
    <w:p>
      <w:pPr>
        <w:pStyle w:val="ListParagraph"/>
        <w:numPr>
          <w:ilvl w:val="0"/>
          <w:numId w:val="2"/>
        </w:numPr>
        <w:spacing w:after="80"/>
      </w:pPr>
      <w:r>
        <w:rPr>
          <w:color w:val="222222"/>
          <w:sz w:val="21"/>
          <w:szCs w:val="21"/>
        </w:rPr>
        <w:t xml:space="preserve">ADF – Azure Data Factory</w:t>
      </w:r>
    </w:p>
    <w:p>
      <w:pPr>
        <w:pStyle w:val="ListParagraph"/>
        <w:numPr>
          <w:ilvl w:val="0"/>
          <w:numId w:val="2"/>
        </w:numPr>
        <w:spacing w:after="80"/>
      </w:pPr>
      <w:r>
        <w:rPr>
          <w:color w:val="222222"/>
          <w:sz w:val="21"/>
          <w:szCs w:val="21"/>
        </w:rPr>
        <w:t xml:space="preserve">Delta Table – Table format used by Fabric Lakehouse/Databricks supporting ACID transactions</w:t>
      </w:r>
    </w:p>
    <w:p>
      <w:pPr>
        <w:pStyle w:val="ListParagraph"/>
        <w:numPr>
          <w:ilvl w:val="0"/>
          <w:numId w:val="2"/>
        </w:numPr>
        <w:spacing w:after="80"/>
      </w:pPr>
      <w:r>
        <w:rPr>
          <w:color w:val="222222"/>
          <w:sz w:val="21"/>
          <w:szCs w:val="21"/>
        </w:rPr>
        <w:t xml:space="preserve">Import Mode – Power BI semantic model mode where data is copied/cached into the model at refresh time</w:t>
      </w:r>
    </w:p>
    <w:p>
      <w:pPr>
        <w:pStyle w:val="ListParagraph"/>
        <w:numPr>
          <w:ilvl w:val="0"/>
          <w:numId w:val="2"/>
        </w:numPr>
        <w:spacing w:after="80"/>
      </w:pPr>
      <w:r>
        <w:rPr>
          <w:color w:val="222222"/>
          <w:sz w:val="21"/>
          <w:szCs w:val="21"/>
        </w:rPr>
        <w:t xml:space="preserve">Fabric Lakehouse – Microsoft Fabric storage item combining file and table (Delta) storage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decimal"/>
      <w:lvlText w:val="%1."/>
      <w:lvlJc w:val="left"/>
      <w:pPr>
        <w:ind w:left="460" w:hanging="260"/>
      </w:pPr>
    </w:lvl>
  </w:abstractNum>
  <w:abstractNum w:abstractNumId="5" w15:restartNumberingAfterBreak="0">
    <w:multiLevelType w:val="hybridMultilevel"/>
    <w:lvl w:ilvl="0" w15:tentative="1">
      <w:start w:val="1"/>
      <w:numFmt w:val="decimal"/>
      <w:lvlText w:val="%1."/>
      <w:lvlJc w:val="left"/>
      <w:pPr>
        <w:ind w:left="460" w:hanging="260"/>
      </w:pPr>
    </w:lvl>
  </w:abstractNum>
  <w:abstractNum w:abstractNumId="6"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2026-09-09T10:37:30.181Z</dcterms:created>
  <dcterms:modified xsi:type="dcterms:W3CDTF">2026-09-09T10:37:30.181Z</dcterms:modified>
</cp:coreProperties>
</file>

<file path=docProps/custom.xml><?xml version="1.0" encoding="utf-8"?>
<Properties xmlns="http://schemas.openxmlformats.org/officeDocument/2006/custom-properties" xmlns:vt="http://schemas.openxmlformats.org/officeDocument/2006/docPropsVTypes"/>
</file>