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0"/>
      </w:pPr>
    </w:p>
    <w:p>
      <w:pPr>
        <w:jc w:val="center"/>
      </w:pPr>
      <w:r>
        <w:rPr>
          <w:b/>
          <w:bCs/>
          <w:color w:val="1F3864"/>
          <w:sz w:val="44"/>
          <w:szCs w:val="44"/>
        </w:rPr>
        <w:t xml:space="preserve">TECHNICAL DESIGN DOCUMENT</w:t>
      </w:r>
    </w:p>
    <w:p>
      <w:pPr>
        <w:spacing w:after="200"/>
      </w:pPr>
    </w:p>
    <w:p>
      <w:pPr>
        <w:jc w:val="center"/>
      </w:pPr>
      <w:r>
        <w:rPr>
          <w:b/>
          <w:bCs/>
          <w:i/>
          <w:iCs/>
          <w:color w:val="C00000"/>
          <w:sz w:val="36"/>
          <w:szCs w:val="36"/>
        </w:rPr>
        <w:t xml:space="preserve">[Pipeline Name]</w:t>
      </w:r>
    </w:p>
    <w:p>
      <w:pPr>
        <w:spacing w:after="100"/>
      </w:pPr>
    </w:p>
    <w:p>
      <w:pPr>
        <w:jc w:val="center"/>
      </w:pPr>
      <w:r>
        <w:rPr>
          <w:color w:val="595959"/>
          <w:sz w:val="24"/>
          <w:szCs w:val="24"/>
        </w:rPr>
        <w:t xml:space="preserve">Azure Data Factory &amp; Databricks Integration — Weekly Batch Load</w:t>
      </w:r>
    </w:p>
    <w:p>
      <w:pPr>
        <w:spacing w:after="1200"/>
      </w:pPr>
    </w:p>
    <w:p>
      <w:pPr>
        <w:jc w:val="center"/>
      </w:pPr>
      <w:r>
        <w:rPr>
          <w:i/>
          <w:iCs/>
          <w:color w:val="2E75B6"/>
          <w:sz w:val="22"/>
          <w:szCs w:val="22"/>
        </w:rPr>
        <w:t xml:space="preserve">SharePoint → Databricks (Unity Catalog Bronze) → Microsoft Fabric (Power BI)</w:t>
      </w:r>
    </w:p>
    <w:p>
      <w:pPr>
        <w:spacing w:after="20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700"/>
        <w:gridCol w:w="6300"/>
      </w:tblGrid>
      <w:tr>
        <w:trPr>
          <w:tblHeader/>
        </w:trPr>
        <w:tc>
          <w:tcPr>
            <w:tcW w:type="pct" w:w="30%"/>
            <w:shd w:fill="1F3864" w:val="clear"/>
            <w:tcMar>
              <w:top w:type="dxa" w:w="80"/>
              <w:left w:type="dxa" w:w="100"/>
              <w:bottom w:type="dxa" w:w="80"/>
              <w:right w:type="dxa" w:w="100"/>
            </w:tcMar>
          </w:tcPr>
          <w:p>
            <w:r>
              <w:rPr>
                <w:b/>
                <w:bCs/>
                <w:color w:val="FFFFFF"/>
                <w:sz w:val="20"/>
                <w:szCs w:val="20"/>
              </w:rPr>
              <w:t xml:space="preserve">Field</w:t>
            </w:r>
          </w:p>
        </w:tc>
        <w:tc>
          <w:tcPr>
            <w:tcW w:type="pct" w:w="70%"/>
            <w:shd w:fill="1F3864" w:val="clear"/>
            <w:tcMar>
              <w:top w:type="dxa" w:w="80"/>
              <w:left w:type="dxa" w:w="100"/>
              <w:bottom w:type="dxa" w:w="80"/>
              <w:right w:type="dxa" w:w="100"/>
            </w:tcMar>
          </w:tcPr>
          <w:p>
            <w:r>
              <w:rPr>
                <w:b/>
                <w:bCs/>
                <w:color w:val="FFFFFF"/>
                <w:sz w:val="20"/>
                <w:szCs w:val="20"/>
              </w:rPr>
              <w:t xml:space="preserve">Details</w:t>
            </w:r>
          </w:p>
        </w:tc>
      </w:tr>
      <w:tr>
        <w:tc>
          <w:tcPr>
            <w:tcW w:type="pct" w:w="30%"/>
            <w:tcMar>
              <w:top w:type="dxa" w:w="80"/>
              <w:left w:type="dxa" w:w="100"/>
              <w:bottom w:type="dxa" w:w="80"/>
              <w:right w:type="dxa" w:w="100"/>
            </w:tcMar>
          </w:tcPr>
          <w:p>
            <w:pPr>
              <w:spacing w:after="0"/>
            </w:pPr>
            <w:r>
              <w:rPr>
                <w:sz w:val="20"/>
                <w:szCs w:val="20"/>
              </w:rPr>
              <w:t xml:space="preserve"/>
            </w:r>
            <w:r>
              <w:rPr>
                <w:i/>
                <w:iCs/>
                <w:color w:val="C00000"/>
                <w:sz w:val="20"/>
                <w:szCs w:val="20"/>
              </w:rPr>
              <w:t xml:space="preserve">[Pipeline Name]</w:t>
            </w:r>
          </w:p>
        </w:tc>
        <w:tc>
          <w:tcPr>
            <w:tcW w:type="pct" w:w="70%"/>
            <w:tcMar>
              <w:top w:type="dxa" w:w="80"/>
              <w:left w:type="dxa" w:w="100"/>
              <w:bottom w:type="dxa" w:w="80"/>
              <w:right w:type="dxa" w:w="100"/>
            </w:tcMar>
          </w:tcPr>
          <w:p>
            <w:pPr>
              <w:spacing w:after="0"/>
            </w:pPr>
            <w:r>
              <w:rPr>
                <w:sz w:val="20"/>
                <w:szCs w:val="20"/>
              </w:rPr>
              <w:t xml:space="preserve"/>
            </w:r>
            <w:r>
              <w:rPr>
                <w:i/>
                <w:iCs/>
                <w:color w:val="C00000"/>
                <w:sz w:val="20"/>
                <w:szCs w:val="20"/>
              </w:rPr>
              <w:t xml:space="preserve">[Pipeline Name]</w:t>
            </w:r>
          </w:p>
        </w:tc>
      </w:tr>
      <w:tr>
        <w:tc>
          <w:tcPr>
            <w:tcW w:type="pct" w:w="30%"/>
            <w:shd w:fill="F2F2F2" w:val="clear"/>
            <w:tcMar>
              <w:top w:type="dxa" w:w="80"/>
              <w:left w:type="dxa" w:w="100"/>
              <w:bottom w:type="dxa" w:w="80"/>
              <w:right w:type="dxa" w:w="100"/>
            </w:tcMar>
          </w:tcPr>
          <w:p>
            <w:pPr>
              <w:spacing w:after="0"/>
            </w:pPr>
            <w:r>
              <w:rPr>
                <w:sz w:val="20"/>
                <w:szCs w:val="20"/>
              </w:rPr>
              <w:t xml:space="preserve">Document Version</w:t>
            </w:r>
          </w:p>
        </w:tc>
        <w:tc>
          <w:tcPr>
            <w:tcW w:type="pct" w:w="70%"/>
            <w:shd w:fill="F2F2F2" w:val="clear"/>
            <w:tcMar>
              <w:top w:type="dxa" w:w="80"/>
              <w:left w:type="dxa" w:w="100"/>
              <w:bottom w:type="dxa" w:w="80"/>
              <w:right w:type="dxa" w:w="100"/>
            </w:tcMar>
          </w:tcPr>
          <w:p>
            <w:pPr>
              <w:spacing w:after="0"/>
            </w:pPr>
            <w:r>
              <w:rPr>
                <w:sz w:val="20"/>
                <w:szCs w:val="20"/>
              </w:rPr>
              <w:t xml:space="preserve"/>
            </w:r>
            <w:r>
              <w:rPr>
                <w:i/>
                <w:iCs/>
                <w:color w:val="C00000"/>
                <w:sz w:val="20"/>
                <w:szCs w:val="20"/>
              </w:rPr>
              <w:t xml:space="preserve">[v0.1 – Draft]</w:t>
            </w:r>
          </w:p>
        </w:tc>
      </w:tr>
      <w:tr>
        <w:tc>
          <w:tcPr>
            <w:tcW w:type="pct" w:w="30%"/>
            <w:tcMar>
              <w:top w:type="dxa" w:w="80"/>
              <w:left w:type="dxa" w:w="100"/>
              <w:bottom w:type="dxa" w:w="80"/>
              <w:right w:type="dxa" w:w="100"/>
            </w:tcMar>
          </w:tcPr>
          <w:p>
            <w:pPr>
              <w:spacing w:after="0"/>
            </w:pPr>
            <w:r>
              <w:rPr>
                <w:sz w:val="20"/>
                <w:szCs w:val="20"/>
              </w:rPr>
              <w:t xml:space="preserve">Author</w:t>
            </w:r>
          </w:p>
        </w:tc>
        <w:tc>
          <w:tcPr>
            <w:tcW w:type="pct" w:w="70%"/>
            <w:tcMar>
              <w:top w:type="dxa" w:w="80"/>
              <w:left w:type="dxa" w:w="100"/>
              <w:bottom w:type="dxa" w:w="80"/>
              <w:right w:type="dxa" w:w="100"/>
            </w:tcMar>
          </w:tcPr>
          <w:p>
            <w:pPr>
              <w:spacing w:after="0"/>
            </w:pPr>
            <w:r>
              <w:rPr>
                <w:sz w:val="20"/>
                <w:szCs w:val="20"/>
              </w:rPr>
              <w:t xml:space="preserve"/>
            </w:r>
            <w:r>
              <w:rPr>
                <w:i/>
                <w:iCs/>
                <w:color w:val="C00000"/>
                <w:sz w:val="20"/>
                <w:szCs w:val="20"/>
              </w:rPr>
              <w:t xml:space="preserve">[Author Name]</w:t>
            </w:r>
          </w:p>
        </w:tc>
      </w:tr>
      <w:tr>
        <w:tc>
          <w:tcPr>
            <w:tcW w:type="pct" w:w="30%"/>
            <w:shd w:fill="F2F2F2" w:val="clear"/>
            <w:tcMar>
              <w:top w:type="dxa" w:w="80"/>
              <w:left w:type="dxa" w:w="100"/>
              <w:bottom w:type="dxa" w:w="80"/>
              <w:right w:type="dxa" w:w="100"/>
            </w:tcMar>
          </w:tcPr>
          <w:p>
            <w:pPr>
              <w:spacing w:after="0"/>
            </w:pPr>
            <w:r>
              <w:rPr>
                <w:sz w:val="20"/>
                <w:szCs w:val="20"/>
              </w:rPr>
              <w:t xml:space="preserve">Reviewer(s)</w:t>
            </w:r>
          </w:p>
        </w:tc>
        <w:tc>
          <w:tcPr>
            <w:tcW w:type="pct" w:w="70%"/>
            <w:shd w:fill="F2F2F2" w:val="clear"/>
            <w:tcMar>
              <w:top w:type="dxa" w:w="80"/>
              <w:left w:type="dxa" w:w="100"/>
              <w:bottom w:type="dxa" w:w="80"/>
              <w:right w:type="dxa" w:w="100"/>
            </w:tcMar>
          </w:tcPr>
          <w:p>
            <w:pPr>
              <w:spacing w:after="0"/>
            </w:pPr>
            <w:r>
              <w:rPr>
                <w:sz w:val="20"/>
                <w:szCs w:val="20"/>
              </w:rPr>
              <w:t xml:space="preserve"/>
            </w:r>
            <w:r>
              <w:rPr>
                <w:i/>
                <w:iCs/>
                <w:color w:val="C00000"/>
                <w:sz w:val="20"/>
                <w:szCs w:val="20"/>
              </w:rPr>
              <w:t xml:space="preserve">[Reviewer Name(s)]</w:t>
            </w:r>
          </w:p>
        </w:tc>
      </w:tr>
      <w:tr>
        <w:tc>
          <w:tcPr>
            <w:tcW w:type="pct" w:w="30%"/>
            <w:tcMar>
              <w:top w:type="dxa" w:w="80"/>
              <w:left w:type="dxa" w:w="100"/>
              <w:bottom w:type="dxa" w:w="80"/>
              <w:right w:type="dxa" w:w="100"/>
            </w:tcMar>
          </w:tcPr>
          <w:p>
            <w:pPr>
              <w:spacing w:after="0"/>
            </w:pPr>
            <w:r>
              <w:rPr>
                <w:sz w:val="20"/>
                <w:szCs w:val="20"/>
              </w:rPr>
              <w:t xml:space="preserve">Date</w:t>
            </w:r>
          </w:p>
        </w:tc>
        <w:tc>
          <w:tcPr>
            <w:tcW w:type="pct" w:w="70%"/>
            <w:tcMar>
              <w:top w:type="dxa" w:w="80"/>
              <w:left w:type="dxa" w:w="100"/>
              <w:bottom w:type="dxa" w:w="80"/>
              <w:right w:type="dxa" w:w="100"/>
            </w:tcMar>
          </w:tcPr>
          <w:p>
            <w:pPr>
              <w:spacing w:after="0"/>
            </w:pPr>
            <w:r>
              <w:rPr>
                <w:sz w:val="20"/>
                <w:szCs w:val="20"/>
              </w:rPr>
              <w:t xml:space="preserve"/>
            </w:r>
            <w:r>
              <w:rPr>
                <w:i/>
                <w:iCs/>
                <w:color w:val="C00000"/>
                <w:sz w:val="20"/>
                <w:szCs w:val="20"/>
              </w:rPr>
              <w:t xml:space="preserve">[DD-MMM-YYYY]</w:t>
            </w:r>
          </w:p>
        </w:tc>
      </w:tr>
      <w:tr>
        <w:tc>
          <w:tcPr>
            <w:tcW w:type="pct" w:w="30%"/>
            <w:shd w:fill="F2F2F2" w:val="clear"/>
            <w:tcMar>
              <w:top w:type="dxa" w:w="80"/>
              <w:left w:type="dxa" w:w="100"/>
              <w:bottom w:type="dxa" w:w="80"/>
              <w:right w:type="dxa" w:w="100"/>
            </w:tcMar>
          </w:tcPr>
          <w:p>
            <w:pPr>
              <w:spacing w:after="0"/>
            </w:pPr>
            <w:r>
              <w:rPr>
                <w:sz w:val="20"/>
                <w:szCs w:val="20"/>
              </w:rPr>
              <w:t xml:space="preserve">Status</w:t>
            </w:r>
          </w:p>
        </w:tc>
        <w:tc>
          <w:tcPr>
            <w:tcW w:type="pct" w:w="70%"/>
            <w:shd w:fill="F2F2F2" w:val="clear"/>
            <w:tcMar>
              <w:top w:type="dxa" w:w="80"/>
              <w:left w:type="dxa" w:w="100"/>
              <w:bottom w:type="dxa" w:w="80"/>
              <w:right w:type="dxa" w:w="100"/>
            </w:tcMar>
          </w:tcPr>
          <w:p>
            <w:pPr>
              <w:spacing w:after="0"/>
            </w:pPr>
            <w:r>
              <w:rPr>
                <w:sz w:val="20"/>
                <w:szCs w:val="20"/>
              </w:rPr>
              <w:t xml:space="preserve"/>
            </w:r>
            <w:r>
              <w:rPr>
                <w:i/>
                <w:iCs/>
                <w:color w:val="C00000"/>
                <w:sz w:val="20"/>
                <w:szCs w:val="20"/>
              </w:rPr>
              <w:t xml:space="preserve">[Draft / In Review / Approved]</w:t>
            </w:r>
          </w:p>
        </w:tc>
      </w:tr>
    </w:tbl>
    <w:p>
      <w:r>
        <w:br w:type="page"/>
      </w:r>
    </w:p>
    <w:p>
      <w:pPr>
        <w:sectPr>
          <w:pgSz w:w="12240" w:h="15840" w:orient="portrait"/>
          <w:pgMar w:top="1440" w:right="1440" w:bottom="1440" w:left="1440" w:header="708" w:footer="708" w:gutter="0"/>
          <w:pgNumType/>
          <w:docGrid w:linePitch="360"/>
        </w:sectPr>
      </w:pPr>
    </w:p>
    <w:p>
      <w:pPr>
        <w:pStyle w:val="Heading1"/>
        <w:spacing w:after="160" w:before="360"/>
      </w:pPr>
      <w:r>
        <w:rPr>
          <w:b/>
          <w:bCs/>
          <w:color w:val="1F3864"/>
          <w:sz w:val="28"/>
          <w:szCs w:val="28"/>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spacing w:after="160" w:before="360"/>
      </w:pPr>
      <w:r>
        <w:rPr>
          <w:b/>
          <w:bCs/>
          <w:color w:val="1F3864"/>
          <w:sz w:val="28"/>
          <w:szCs w:val="28"/>
        </w:rPr>
        <w:t xml:space="preserve">1. Document Control</w:t>
      </w:r>
    </w:p>
    <w:p>
      <w:pPr>
        <w:pStyle w:val="Heading2"/>
        <w:spacing w:after="120" w:before="280"/>
      </w:pPr>
      <w:r>
        <w:rPr>
          <w:b/>
          <w:bCs/>
          <w:color w:val="2E75B6"/>
          <w:sz w:val="24"/>
          <w:szCs w:val="24"/>
        </w:rPr>
        <w:t xml:space="preserve">1.1 Revision History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80"/>
        <w:gridCol w:w="1800"/>
        <w:gridCol w:w="2520"/>
        <w:gridCol w:w="3600"/>
      </w:tblGrid>
      <w:tr>
        <w:trPr>
          <w:tblHeader/>
        </w:trPr>
        <w:tc>
          <w:tcPr>
            <w:tcW w:type="pct" w:w="12%"/>
            <w:shd w:fill="1F3864" w:val="clear"/>
            <w:tcMar>
              <w:top w:type="dxa" w:w="80"/>
              <w:left w:type="dxa" w:w="100"/>
              <w:bottom w:type="dxa" w:w="80"/>
              <w:right w:type="dxa" w:w="100"/>
            </w:tcMar>
          </w:tcPr>
          <w:p>
            <w:r>
              <w:rPr>
                <w:b/>
                <w:bCs/>
                <w:color w:val="FFFFFF"/>
                <w:sz w:val="20"/>
                <w:szCs w:val="20"/>
              </w:rPr>
              <w:t xml:space="preserve">Version</w:t>
            </w:r>
          </w:p>
        </w:tc>
        <w:tc>
          <w:tcPr>
            <w:tcW w:type="pct" w:w="20%"/>
            <w:shd w:fill="1F3864" w:val="clear"/>
            <w:tcMar>
              <w:top w:type="dxa" w:w="80"/>
              <w:left w:type="dxa" w:w="100"/>
              <w:bottom w:type="dxa" w:w="80"/>
              <w:right w:type="dxa" w:w="100"/>
            </w:tcMar>
          </w:tcPr>
          <w:p>
            <w:r>
              <w:rPr>
                <w:b/>
                <w:bCs/>
                <w:color w:val="FFFFFF"/>
                <w:sz w:val="20"/>
                <w:szCs w:val="20"/>
              </w:rPr>
              <w:t xml:space="preserve">Date</w:t>
            </w:r>
          </w:p>
        </w:tc>
        <w:tc>
          <w:tcPr>
            <w:tcW w:type="pct" w:w="28%"/>
            <w:shd w:fill="1F3864" w:val="clear"/>
            <w:tcMar>
              <w:top w:type="dxa" w:w="80"/>
              <w:left w:type="dxa" w:w="100"/>
              <w:bottom w:type="dxa" w:w="80"/>
              <w:right w:type="dxa" w:w="100"/>
            </w:tcMar>
          </w:tcPr>
          <w:p>
            <w:r>
              <w:rPr>
                <w:b/>
                <w:bCs/>
                <w:color w:val="FFFFFF"/>
                <w:sz w:val="20"/>
                <w:szCs w:val="20"/>
              </w:rPr>
              <w:t xml:space="preserve">Author</w:t>
            </w:r>
          </w:p>
        </w:tc>
        <w:tc>
          <w:tcPr>
            <w:tcW w:type="pct" w:w="40%"/>
            <w:shd w:fill="1F3864" w:val="clear"/>
            <w:tcMar>
              <w:top w:type="dxa" w:w="80"/>
              <w:left w:type="dxa" w:w="100"/>
              <w:bottom w:type="dxa" w:w="80"/>
              <w:right w:type="dxa" w:w="100"/>
            </w:tcMar>
          </w:tcPr>
          <w:p>
            <w:r>
              <w:rPr>
                <w:b/>
                <w:bCs/>
                <w:color w:val="FFFFFF"/>
                <w:sz w:val="20"/>
                <w:szCs w:val="20"/>
              </w:rPr>
              <w:t xml:space="preserve">Description of Change</w:t>
            </w:r>
          </w:p>
        </w:tc>
      </w:tr>
      <w:tr>
        <w:tc>
          <w:tcPr>
            <w:tcW w:type="pct" w:w="12%"/>
            <w:tcMar>
              <w:top w:type="dxa" w:w="80"/>
              <w:left w:type="dxa" w:w="100"/>
              <w:bottom w:type="dxa" w:w="80"/>
              <w:right w:type="dxa" w:w="100"/>
            </w:tcMar>
          </w:tcPr>
          <w:p>
            <w:pPr>
              <w:spacing w:after="0"/>
            </w:pPr>
            <w:r>
              <w:rPr>
                <w:sz w:val="20"/>
                <w:szCs w:val="20"/>
              </w:rPr>
              <w:t xml:space="preserve"/>
            </w:r>
            <w:r>
              <w:rPr>
                <w:i/>
                <w:iCs/>
                <w:color w:val="C00000"/>
                <w:sz w:val="20"/>
                <w:szCs w:val="20"/>
              </w:rPr>
              <w:t xml:space="preserve">[0.1]</w:t>
            </w:r>
          </w:p>
        </w:tc>
        <w:tc>
          <w:tcPr>
            <w:tcW w:type="pct" w:w="20%"/>
            <w:tcMar>
              <w:top w:type="dxa" w:w="80"/>
              <w:left w:type="dxa" w:w="100"/>
              <w:bottom w:type="dxa" w:w="80"/>
              <w:right w:type="dxa" w:w="100"/>
            </w:tcMar>
          </w:tcPr>
          <w:p>
            <w:pPr>
              <w:spacing w:after="0"/>
            </w:pPr>
            <w:r>
              <w:rPr>
                <w:sz w:val="20"/>
                <w:szCs w:val="20"/>
              </w:rPr>
              <w:t xml:space="preserve"/>
            </w:r>
            <w:r>
              <w:rPr>
                <w:i/>
                <w:iCs/>
                <w:color w:val="C00000"/>
                <w:sz w:val="20"/>
                <w:szCs w:val="20"/>
              </w:rPr>
              <w:t xml:space="preserve">[DD-MMM-YYYY]</w:t>
            </w:r>
          </w:p>
        </w:tc>
        <w:tc>
          <w:tcPr>
            <w:tcW w:type="pct" w:w="28%"/>
            <w:tcMar>
              <w:top w:type="dxa" w:w="80"/>
              <w:left w:type="dxa" w:w="100"/>
              <w:bottom w:type="dxa" w:w="80"/>
              <w:right w:type="dxa" w:w="100"/>
            </w:tcMar>
          </w:tcPr>
          <w:p>
            <w:pPr>
              <w:spacing w:after="0"/>
            </w:pPr>
            <w:r>
              <w:rPr>
                <w:sz w:val="20"/>
                <w:szCs w:val="20"/>
              </w:rPr>
              <w:t xml:space="preserve"/>
            </w:r>
            <w:r>
              <w:rPr>
                <w:i/>
                <w:iCs/>
                <w:color w:val="C00000"/>
                <w:sz w:val="20"/>
                <w:szCs w:val="20"/>
              </w:rPr>
              <w:t xml:space="preserve">[Author Name]</w:t>
            </w:r>
          </w:p>
        </w:tc>
        <w:tc>
          <w:tcPr>
            <w:tcW w:type="pct" w:w="40%"/>
            <w:tcMar>
              <w:top w:type="dxa" w:w="80"/>
              <w:left w:type="dxa" w:w="100"/>
              <w:bottom w:type="dxa" w:w="80"/>
              <w:right w:type="dxa" w:w="100"/>
            </w:tcMar>
          </w:tcPr>
          <w:p>
            <w:pPr>
              <w:spacing w:after="0"/>
            </w:pPr>
            <w:r>
              <w:rPr>
                <w:sz w:val="20"/>
                <w:szCs w:val="20"/>
              </w:rPr>
              <w:t xml:space="preserve"/>
            </w:r>
            <w:r>
              <w:rPr>
                <w:i/>
                <w:iCs/>
                <w:color w:val="C00000"/>
                <w:sz w:val="20"/>
                <w:szCs w:val="20"/>
              </w:rPr>
              <w:t xml:space="preserve">[Initial draft]</w:t>
            </w:r>
          </w:p>
        </w:tc>
      </w:tr>
    </w:tbl>
    <w:p>
      <w:pPr>
        <w:spacing w:after="200"/>
      </w:pPr>
    </w:p>
    <w:p>
      <w:pPr>
        <w:pStyle w:val="Heading2"/>
        <w:spacing w:after="120" w:before="280"/>
      </w:pPr>
      <w:r>
        <w:rPr>
          <w:b/>
          <w:bCs/>
          <w:color w:val="2E75B6"/>
          <w:sz w:val="24"/>
          <w:szCs w:val="24"/>
        </w:rPr>
        <w:t xml:space="preserve">1.2 Approvals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60"/>
        <w:gridCol w:w="2970"/>
        <w:gridCol w:w="2970"/>
      </w:tblGrid>
      <w:tr>
        <w:trPr>
          <w:tblHeader/>
        </w:trPr>
        <w:tc>
          <w:tcPr>
            <w:tcW w:type="pct" w:w="34%"/>
            <w:shd w:fill="1F3864" w:val="clear"/>
            <w:tcMar>
              <w:top w:type="dxa" w:w="80"/>
              <w:left w:type="dxa" w:w="100"/>
              <w:bottom w:type="dxa" w:w="80"/>
              <w:right w:type="dxa" w:w="100"/>
            </w:tcMar>
          </w:tcPr>
          <w:p>
            <w:r>
              <w:rPr>
                <w:b/>
                <w:bCs/>
                <w:color w:val="FFFFFF"/>
                <w:sz w:val="20"/>
                <w:szCs w:val="20"/>
              </w:rPr>
              <w:t xml:space="preserve">Role</w:t>
            </w:r>
          </w:p>
        </w:tc>
        <w:tc>
          <w:tcPr>
            <w:tcW w:type="pct" w:w="33%"/>
            <w:shd w:fill="1F3864" w:val="clear"/>
            <w:tcMar>
              <w:top w:type="dxa" w:w="80"/>
              <w:left w:type="dxa" w:w="100"/>
              <w:bottom w:type="dxa" w:w="80"/>
              <w:right w:type="dxa" w:w="100"/>
            </w:tcMar>
          </w:tcPr>
          <w:p>
            <w:r>
              <w:rPr>
                <w:b/>
                <w:bCs/>
                <w:color w:val="FFFFFF"/>
                <w:sz w:val="20"/>
                <w:szCs w:val="20"/>
              </w:rPr>
              <w:t xml:space="preserve">Name</w:t>
            </w:r>
          </w:p>
        </w:tc>
        <w:tc>
          <w:tcPr>
            <w:tcW w:type="pct" w:w="33%"/>
            <w:shd w:fill="1F3864" w:val="clear"/>
            <w:tcMar>
              <w:top w:type="dxa" w:w="80"/>
              <w:left w:type="dxa" w:w="100"/>
              <w:bottom w:type="dxa" w:w="80"/>
              <w:right w:type="dxa" w:w="100"/>
            </w:tcMar>
          </w:tcPr>
          <w:p>
            <w:r>
              <w:rPr>
                <w:b/>
                <w:bCs/>
                <w:color w:val="FFFFFF"/>
                <w:sz w:val="20"/>
                <w:szCs w:val="20"/>
              </w:rPr>
              <w:t xml:space="preserve">Sign-off Date</w:t>
            </w:r>
          </w:p>
        </w:tc>
      </w:tr>
      <w:tr>
        <w:tc>
          <w:tcPr>
            <w:tcW w:type="pct" w:w="34%"/>
            <w:tcMar>
              <w:top w:type="dxa" w:w="80"/>
              <w:left w:type="dxa" w:w="100"/>
              <w:bottom w:type="dxa" w:w="80"/>
              <w:right w:type="dxa" w:w="100"/>
            </w:tcMar>
          </w:tcPr>
          <w:p>
            <w:pPr>
              <w:spacing w:after="0"/>
            </w:pPr>
            <w:r>
              <w:rPr>
                <w:sz w:val="20"/>
                <w:szCs w:val="20"/>
              </w:rPr>
              <w:t xml:space="preserve">Data Engineering Lead</w:t>
            </w:r>
          </w:p>
        </w:tc>
        <w:tc>
          <w:tcPr>
            <w:tcW w:type="pct" w:w="33%"/>
            <w:tcMar>
              <w:top w:type="dxa" w:w="80"/>
              <w:left w:type="dxa" w:w="100"/>
              <w:bottom w:type="dxa" w:w="80"/>
              <w:right w:type="dxa" w:w="100"/>
            </w:tcMar>
          </w:tcPr>
          <w:p>
            <w:pPr>
              <w:spacing w:after="0"/>
            </w:pPr>
            <w:r>
              <w:rPr>
                <w:sz w:val="20"/>
                <w:szCs w:val="20"/>
              </w:rPr>
              <w:t xml:space="preserve"/>
            </w:r>
            <w:r>
              <w:rPr>
                <w:i/>
                <w:iCs/>
                <w:color w:val="C00000"/>
                <w:sz w:val="20"/>
                <w:szCs w:val="20"/>
              </w:rPr>
              <w:t xml:space="preserve">[Name]</w:t>
            </w:r>
          </w:p>
        </w:tc>
        <w:tc>
          <w:tcPr>
            <w:tcW w:type="pct" w:w="33%"/>
            <w:tcMar>
              <w:top w:type="dxa" w:w="80"/>
              <w:left w:type="dxa" w:w="100"/>
              <w:bottom w:type="dxa" w:w="80"/>
              <w:right w:type="dxa" w:w="100"/>
            </w:tcMar>
          </w:tcPr>
          <w:p>
            <w:pPr>
              <w:spacing w:after="0"/>
            </w:pPr>
            <w:r>
              <w:rPr>
                <w:sz w:val="20"/>
                <w:szCs w:val="20"/>
              </w:rPr>
              <w:t xml:space="preserve"/>
            </w:r>
            <w:r>
              <w:rPr>
                <w:i/>
                <w:iCs/>
                <w:color w:val="C00000"/>
                <w:sz w:val="20"/>
                <w:szCs w:val="20"/>
              </w:rPr>
              <w:t xml:space="preserve">[Date]</w:t>
            </w:r>
          </w:p>
        </w:tc>
      </w:tr>
      <w:tr>
        <w:tc>
          <w:tcPr>
            <w:tcW w:type="pct" w:w="34%"/>
            <w:shd w:fill="F2F2F2" w:val="clear"/>
            <w:tcMar>
              <w:top w:type="dxa" w:w="80"/>
              <w:left w:type="dxa" w:w="100"/>
              <w:bottom w:type="dxa" w:w="80"/>
              <w:right w:type="dxa" w:w="100"/>
            </w:tcMar>
          </w:tcPr>
          <w:p>
            <w:pPr>
              <w:spacing w:after="0"/>
            </w:pPr>
            <w:r>
              <w:rPr>
                <w:sz w:val="20"/>
                <w:szCs w:val="20"/>
              </w:rPr>
              <w:t xml:space="preserve">Product / Business Owner</w:t>
            </w:r>
          </w:p>
        </w:tc>
        <w:tc>
          <w:tcPr>
            <w:tcW w:type="pct" w:w="33%"/>
            <w:shd w:fill="F2F2F2" w:val="clear"/>
            <w:tcMar>
              <w:top w:type="dxa" w:w="80"/>
              <w:left w:type="dxa" w:w="100"/>
              <w:bottom w:type="dxa" w:w="80"/>
              <w:right w:type="dxa" w:w="100"/>
            </w:tcMar>
          </w:tcPr>
          <w:p>
            <w:pPr>
              <w:spacing w:after="0"/>
            </w:pPr>
            <w:r>
              <w:rPr>
                <w:sz w:val="20"/>
                <w:szCs w:val="20"/>
              </w:rPr>
              <w:t xml:space="preserve"/>
            </w:r>
            <w:r>
              <w:rPr>
                <w:i/>
                <w:iCs/>
                <w:color w:val="C00000"/>
                <w:sz w:val="20"/>
                <w:szCs w:val="20"/>
              </w:rPr>
              <w:t xml:space="preserve">[Name]</w:t>
            </w:r>
          </w:p>
        </w:tc>
        <w:tc>
          <w:tcPr>
            <w:tcW w:type="pct" w:w="33%"/>
            <w:shd w:fill="F2F2F2" w:val="clear"/>
            <w:tcMar>
              <w:top w:type="dxa" w:w="80"/>
              <w:left w:type="dxa" w:w="100"/>
              <w:bottom w:type="dxa" w:w="80"/>
              <w:right w:type="dxa" w:w="100"/>
            </w:tcMar>
          </w:tcPr>
          <w:p>
            <w:pPr>
              <w:spacing w:after="0"/>
            </w:pPr>
            <w:r>
              <w:rPr>
                <w:sz w:val="20"/>
                <w:szCs w:val="20"/>
              </w:rPr>
              <w:t xml:space="preserve"/>
            </w:r>
            <w:r>
              <w:rPr>
                <w:i/>
                <w:iCs/>
                <w:color w:val="C00000"/>
                <w:sz w:val="20"/>
                <w:szCs w:val="20"/>
              </w:rPr>
              <w:t xml:space="preserve">[Date]</w:t>
            </w:r>
          </w:p>
        </w:tc>
      </w:tr>
    </w:tbl>
    <w:p>
      <w:pPr>
        <w:pStyle w:val="Heading1"/>
        <w:spacing w:after="160" w:before="360"/>
      </w:pPr>
      <w:r>
        <w:rPr>
          <w:b/>
          <w:bCs/>
          <w:color w:val="1F3864"/>
          <w:sz w:val="28"/>
          <w:szCs w:val="28"/>
        </w:rPr>
        <w:t xml:space="preserve">2. Overview &amp; Purpose</w:t>
      </w:r>
    </w:p>
    <w:p>
      <w:pPr>
        <w:spacing w:after="160" w:line="276"/>
      </w:pPr>
      <w:r>
        <w:rPr>
          <w:sz w:val="22"/>
          <w:szCs w:val="22"/>
        </w:rPr>
        <w:t xml:space="preserve">This document describes the technical design of the </w:t>
      </w:r>
      <w:r>
        <w:rPr>
          <w:i/>
          <w:iCs/>
          <w:color w:val="C00000"/>
          <w:sz w:val="22"/>
          <w:szCs w:val="22"/>
        </w:rPr>
        <w:t xml:space="preserve">[Pipeline Name]</w:t>
      </w:r>
      <w:r>
        <w:rPr>
          <w:sz w:val="22"/>
          <w:szCs w:val="22"/>
        </w:rPr>
        <w:t xml:space="preserve"> Azure Data Factory (ADF) pipeline, which orchestrates a weekly batch load of data from SharePoint into Unity Catalog Bronze tables via Databricks Autoloader, and subsequently curates the data into Microsoft Fabric Delta tables for Power BI reporting.</w:t>
      </w:r>
    </w:p>
    <w:p>
      <w:pPr>
        <w:spacing w:after="160" w:line="276"/>
      </w:pPr>
      <w:r>
        <w:rPr>
          <w:sz w:val="22"/>
          <w:szCs w:val="22"/>
        </w:rPr>
        <w:t xml:space="preserve">The pipeline runs on a weekly schedule and is fully orchestrated from ADF, which triggers Databricks Jobs. Each Databricks Job encapsulates one or more notebooks that perform the ingestion, load, and curation logic. Failure handling is implemented at each activity level via a Web Activity that sends a failure notification email, followed by a Fail Activity that halts the pipeline.</w:t>
      </w:r>
    </w:p>
    <w:p>
      <w:pPr>
        <w:pStyle w:val="Heading2"/>
        <w:spacing w:after="120" w:before="280"/>
      </w:pPr>
      <w:r>
        <w:rPr>
          <w:b/>
          <w:bCs/>
          <w:color w:val="2E75B6"/>
          <w:sz w:val="24"/>
          <w:szCs w:val="24"/>
        </w:rPr>
        <w:t xml:space="preserve">2.1 Objectives</w:t>
      </w:r>
    </w:p>
    <w:p>
      <w:pPr>
        <w:pStyle w:val="ListParagraph"/>
        <w:numPr>
          <w:ilvl w:val="0"/>
          <w:numId w:val="1"/>
        </w:numPr>
        <w:spacing w:after="100"/>
      </w:pPr>
      <w:r>
        <w:rPr>
          <w:sz w:val="22"/>
          <w:szCs w:val="22"/>
        </w:rPr>
        <w:t xml:space="preserve">Automate the weekly ingestion of 6 source files from SharePoint into the data lake with file-name validation.</w:t>
      </w:r>
    </w:p>
    <w:p>
      <w:pPr>
        <w:pStyle w:val="ListParagraph"/>
        <w:numPr>
          <w:ilvl w:val="0"/>
          <w:numId w:val="1"/>
        </w:numPr>
        <w:spacing w:after="100"/>
      </w:pPr>
      <w:r>
        <w:rPr>
          <w:sz w:val="22"/>
          <w:szCs w:val="22"/>
        </w:rPr>
        <w:t xml:space="preserve">Load validated source data into respective Unity Catalog Bronze Delta tables using Databricks Autoloader.</w:t>
      </w:r>
    </w:p>
    <w:p>
      <w:pPr>
        <w:pStyle w:val="ListParagraph"/>
        <w:numPr>
          <w:ilvl w:val="0"/>
          <w:numId w:val="1"/>
        </w:numPr>
        <w:spacing w:after="100"/>
      </w:pPr>
      <w:r>
        <w:rPr>
          <w:sz w:val="22"/>
          <w:szCs w:val="22"/>
        </w:rPr>
        <w:t xml:space="preserve">Curate Bronze data and publish it into Microsoft Fabric Delta tables consumed by Power BI reports.</w:t>
      </w:r>
    </w:p>
    <w:p>
      <w:pPr>
        <w:pStyle w:val="ListParagraph"/>
        <w:numPr>
          <w:ilvl w:val="0"/>
          <w:numId w:val="1"/>
        </w:numPr>
        <w:spacing w:after="100"/>
      </w:pPr>
      <w:r>
        <w:rPr>
          <w:sz w:val="22"/>
          <w:szCs w:val="22"/>
        </w:rPr>
        <w:t xml:space="preserve">Provide consistent, centralized failure alerting across all pipeline stages.</w:t>
      </w:r>
    </w:p>
    <w:p>
      <w:pPr>
        <w:pStyle w:val="Heading2"/>
        <w:spacing w:after="120" w:before="280"/>
      </w:pPr>
      <w:r>
        <w:rPr>
          <w:b/>
          <w:bCs/>
          <w:color w:val="2E75B6"/>
          <w:sz w:val="24"/>
          <w:szCs w:val="24"/>
        </w:rPr>
        <w:t xml:space="preserve">2.2 Scope</w:t>
      </w:r>
    </w:p>
    <w:p>
      <w:pPr>
        <w:pStyle w:val="ListParagraph"/>
        <w:numPr>
          <w:ilvl w:val="0"/>
          <w:numId w:val="1"/>
        </w:numPr>
        <w:spacing w:after="100"/>
      </w:pPr>
      <w:r>
        <w:rPr>
          <w:sz w:val="22"/>
          <w:szCs w:val="22"/>
        </w:rPr>
        <w:t xml:space="preserve">In scope: ADF orchestration layer, Databricks Job/Notebook design, error handling &amp; alerting, source-to-target data flow.</w:t>
      </w:r>
    </w:p>
    <w:p>
      <w:pPr>
        <w:pStyle w:val="ListParagraph"/>
        <w:numPr>
          <w:ilvl w:val="0"/>
          <w:numId w:val="1"/>
        </w:numPr>
        <w:spacing w:after="100"/>
      </w:pPr>
      <w:r>
        <w:rPr>
          <w:b/>
          <w:bCs/>
          <w:sz w:val="22"/>
          <w:szCs w:val="22"/>
        </w:rPr>
        <w:t xml:space="preserve">Out of scope: </w:t>
      </w:r>
      <w:r>
        <w:rPr>
          <w:sz w:val="22"/>
          <w:szCs w:val="22"/>
        </w:rPr>
        <w:t xml:space="preserve">Detailed notebook-level transformation logic, Power BI report design, and downstream Fabric semantic model configuration.</w:t>
      </w:r>
    </w:p>
    <w:p>
      <w:pPr>
        <w:pStyle w:val="Heading1"/>
        <w:spacing w:after="160" w:before="360"/>
      </w:pPr>
      <w:r>
        <w:rPr>
          <w:b/>
          <w:bCs/>
          <w:color w:val="1F3864"/>
          <w:sz w:val="28"/>
          <w:szCs w:val="28"/>
        </w:rPr>
        <w:t xml:space="preserve">3. High-Level Architecture</w:t>
      </w:r>
    </w:p>
    <w:p>
      <w:pPr>
        <w:spacing w:after="160" w:line="276"/>
      </w:pPr>
      <w:r>
        <w:rPr>
          <w:sz w:val="22"/>
          <w:szCs w:val="22"/>
        </w:rPr>
        <w:t xml:space="preserve">The diagram below (described logically) represents the end-to-end flow of data and orchestration: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40"/>
        <w:gridCol w:w="2700"/>
        <w:gridCol w:w="4860"/>
      </w:tblGrid>
      <w:tr>
        <w:trPr>
          <w:tblHeader/>
        </w:trPr>
        <w:tc>
          <w:tcPr>
            <w:tcW w:type="pct" w:w="16%"/>
            <w:shd w:fill="1F3864" w:val="clear"/>
            <w:tcMar>
              <w:top w:type="dxa" w:w="80"/>
              <w:left w:type="dxa" w:w="100"/>
              <w:bottom w:type="dxa" w:w="80"/>
              <w:right w:type="dxa" w:w="100"/>
            </w:tcMar>
          </w:tcPr>
          <w:p>
            <w:r>
              <w:rPr>
                <w:b/>
                <w:bCs/>
                <w:color w:val="FFFFFF"/>
                <w:sz w:val="20"/>
                <w:szCs w:val="20"/>
              </w:rPr>
              <w:t xml:space="preserve">Stage</w:t>
            </w:r>
          </w:p>
        </w:tc>
        <w:tc>
          <w:tcPr>
            <w:tcW w:type="pct" w:w="30%"/>
            <w:shd w:fill="1F3864" w:val="clear"/>
            <w:tcMar>
              <w:top w:type="dxa" w:w="80"/>
              <w:left w:type="dxa" w:w="100"/>
              <w:bottom w:type="dxa" w:w="80"/>
              <w:right w:type="dxa" w:w="100"/>
            </w:tcMar>
          </w:tcPr>
          <w:p>
            <w:r>
              <w:rPr>
                <w:b/>
                <w:bCs/>
                <w:color w:val="FFFFFF"/>
                <w:sz w:val="20"/>
                <w:szCs w:val="20"/>
              </w:rPr>
              <w:t xml:space="preserve">System / Component</w:t>
            </w:r>
          </w:p>
        </w:tc>
        <w:tc>
          <w:tcPr>
            <w:tcW w:type="pct" w:w="54%"/>
            <w:shd w:fill="1F3864" w:val="clear"/>
            <w:tcMar>
              <w:top w:type="dxa" w:w="80"/>
              <w:left w:type="dxa" w:w="100"/>
              <w:bottom w:type="dxa" w:w="80"/>
              <w:right w:type="dxa" w:w="100"/>
            </w:tcMar>
          </w:tcPr>
          <w:p>
            <w:r>
              <w:rPr>
                <w:b/>
                <w:bCs/>
                <w:color w:val="FFFFFF"/>
                <w:sz w:val="20"/>
                <w:szCs w:val="20"/>
              </w:rPr>
              <w:t xml:space="preserve">Description</w:t>
            </w:r>
          </w:p>
        </w:tc>
      </w:tr>
      <w:tr>
        <w:tc>
          <w:tcPr>
            <w:tcW w:type="pct" w:w="16%"/>
            <w:tcMar>
              <w:top w:type="dxa" w:w="80"/>
              <w:left w:type="dxa" w:w="100"/>
              <w:bottom w:type="dxa" w:w="80"/>
              <w:right w:type="dxa" w:w="100"/>
            </w:tcMar>
          </w:tcPr>
          <w:p>
            <w:pPr>
              <w:spacing w:after="0"/>
            </w:pPr>
            <w:r>
              <w:rPr>
                <w:sz w:val="20"/>
                <w:szCs w:val="20"/>
              </w:rPr>
              <w:t xml:space="preserve">Source</w:t>
            </w:r>
          </w:p>
        </w:tc>
        <w:tc>
          <w:tcPr>
            <w:tcW w:type="pct" w:w="30%"/>
            <w:tcMar>
              <w:top w:type="dxa" w:w="80"/>
              <w:left w:type="dxa" w:w="100"/>
              <w:bottom w:type="dxa" w:w="80"/>
              <w:right w:type="dxa" w:w="100"/>
            </w:tcMar>
          </w:tcPr>
          <w:p>
            <w:pPr>
              <w:spacing w:after="0"/>
            </w:pPr>
            <w:r>
              <w:rPr>
                <w:sz w:val="20"/>
                <w:szCs w:val="20"/>
              </w:rPr>
              <w:t xml:space="preserve">SharePoint</w:t>
            </w:r>
          </w:p>
        </w:tc>
        <w:tc>
          <w:tcPr>
            <w:tcW w:type="pct" w:w="54%"/>
            <w:tcMar>
              <w:top w:type="dxa" w:w="80"/>
              <w:left w:type="dxa" w:w="100"/>
              <w:bottom w:type="dxa" w:w="80"/>
              <w:right w:type="dxa" w:w="100"/>
            </w:tcMar>
          </w:tcPr>
          <w:p>
            <w:pPr>
              <w:spacing w:after="0"/>
            </w:pPr>
            <w:r>
              <w:rPr>
                <w:sz w:val="20"/>
                <w:szCs w:val="20"/>
              </w:rPr>
              <w:t xml:space="preserve">6 source data files landed/updated by upstream business users.</w:t>
            </w:r>
          </w:p>
        </w:tc>
      </w:tr>
      <w:tr>
        <w:tc>
          <w:tcPr>
            <w:tcW w:type="pct" w:w="16%"/>
            <w:shd w:fill="F2F2F2" w:val="clear"/>
            <w:tcMar>
              <w:top w:type="dxa" w:w="80"/>
              <w:left w:type="dxa" w:w="100"/>
              <w:bottom w:type="dxa" w:w="80"/>
              <w:right w:type="dxa" w:w="100"/>
            </w:tcMar>
          </w:tcPr>
          <w:p>
            <w:pPr>
              <w:spacing w:after="0"/>
            </w:pPr>
            <w:r>
              <w:rPr>
                <w:sz w:val="20"/>
                <w:szCs w:val="20"/>
              </w:rPr>
              <w:t xml:space="preserve">Orchestration</w:t>
            </w:r>
          </w:p>
        </w:tc>
        <w:tc>
          <w:tcPr>
            <w:tcW w:type="pct" w:w="30%"/>
            <w:shd w:fill="F2F2F2" w:val="clear"/>
            <w:tcMar>
              <w:top w:type="dxa" w:w="80"/>
              <w:left w:type="dxa" w:w="100"/>
              <w:bottom w:type="dxa" w:w="80"/>
              <w:right w:type="dxa" w:w="100"/>
            </w:tcMar>
          </w:tcPr>
          <w:p>
            <w:pPr>
              <w:spacing w:after="0"/>
            </w:pPr>
            <w:r>
              <w:rPr>
                <w:sz w:val="20"/>
                <w:szCs w:val="20"/>
              </w:rPr>
              <w:t xml:space="preserve">Azure Data Factory</w:t>
            </w:r>
          </w:p>
        </w:tc>
        <w:tc>
          <w:tcPr>
            <w:tcW w:type="pct" w:w="54%"/>
            <w:shd w:fill="F2F2F2" w:val="clear"/>
            <w:tcMar>
              <w:top w:type="dxa" w:w="80"/>
              <w:left w:type="dxa" w:w="100"/>
              <w:bottom w:type="dxa" w:w="80"/>
              <w:right w:type="dxa" w:w="100"/>
            </w:tcMar>
          </w:tcPr>
          <w:p>
            <w:pPr>
              <w:spacing w:after="0"/>
            </w:pPr>
            <w:r>
              <w:rPr>
                <w:sz w:val="20"/>
                <w:szCs w:val="20"/>
              </w:rPr>
              <w:t xml:space="preserve">Lookup + Databricks Job activities, trigger, failure handling.</w:t>
            </w:r>
          </w:p>
        </w:tc>
      </w:tr>
      <w:tr>
        <w:tc>
          <w:tcPr>
            <w:tcW w:type="pct" w:w="16%"/>
            <w:tcMar>
              <w:top w:type="dxa" w:w="80"/>
              <w:left w:type="dxa" w:w="100"/>
              <w:bottom w:type="dxa" w:w="80"/>
              <w:right w:type="dxa" w:w="100"/>
            </w:tcMar>
          </w:tcPr>
          <w:p>
            <w:pPr>
              <w:spacing w:after="0"/>
            </w:pPr>
            <w:r>
              <w:rPr>
                <w:sz w:val="20"/>
                <w:szCs w:val="20"/>
              </w:rPr>
              <w:t xml:space="preserve">Compute</w:t>
            </w:r>
          </w:p>
        </w:tc>
        <w:tc>
          <w:tcPr>
            <w:tcW w:type="pct" w:w="30%"/>
            <w:tcMar>
              <w:top w:type="dxa" w:w="80"/>
              <w:left w:type="dxa" w:w="100"/>
              <w:bottom w:type="dxa" w:w="80"/>
              <w:right w:type="dxa" w:w="100"/>
            </w:tcMar>
          </w:tcPr>
          <w:p>
            <w:pPr>
              <w:spacing w:after="0"/>
            </w:pPr>
            <w:r>
              <w:rPr>
                <w:sz w:val="20"/>
                <w:szCs w:val="20"/>
              </w:rPr>
              <w:t xml:space="preserve">Azure Databricks (Unity Catalog)</w:t>
            </w:r>
          </w:p>
        </w:tc>
        <w:tc>
          <w:tcPr>
            <w:tcW w:type="pct" w:w="54%"/>
            <w:tcMar>
              <w:top w:type="dxa" w:w="80"/>
              <w:left w:type="dxa" w:w="100"/>
              <w:bottom w:type="dxa" w:w="80"/>
              <w:right w:type="dxa" w:w="100"/>
            </w:tcMar>
          </w:tcPr>
          <w:p>
            <w:pPr>
              <w:spacing w:after="0"/>
            </w:pPr>
            <w:r>
              <w:rPr>
                <w:sz w:val="20"/>
                <w:szCs w:val="20"/>
              </w:rPr>
              <w:t xml:space="preserve">Jobs &amp; notebooks for copy, Autoloader ingestion, and curation.</w:t>
            </w:r>
          </w:p>
        </w:tc>
      </w:tr>
      <w:tr>
        <w:tc>
          <w:tcPr>
            <w:tcW w:type="pct" w:w="16%"/>
            <w:shd w:fill="F2F2F2" w:val="clear"/>
            <w:tcMar>
              <w:top w:type="dxa" w:w="80"/>
              <w:left w:type="dxa" w:w="100"/>
              <w:bottom w:type="dxa" w:w="80"/>
              <w:right w:type="dxa" w:w="100"/>
            </w:tcMar>
          </w:tcPr>
          <w:p>
            <w:pPr>
              <w:spacing w:after="0"/>
            </w:pPr>
            <w:r>
              <w:rPr>
                <w:sz w:val="20"/>
                <w:szCs w:val="20"/>
              </w:rPr>
              <w:t xml:space="preserve">Intermediate Target</w:t>
            </w:r>
          </w:p>
        </w:tc>
        <w:tc>
          <w:tcPr>
            <w:tcW w:type="pct" w:w="30%"/>
            <w:shd w:fill="F2F2F2" w:val="clear"/>
            <w:tcMar>
              <w:top w:type="dxa" w:w="80"/>
              <w:left w:type="dxa" w:w="100"/>
              <w:bottom w:type="dxa" w:w="80"/>
              <w:right w:type="dxa" w:w="100"/>
            </w:tcMar>
          </w:tcPr>
          <w:p>
            <w:pPr>
              <w:spacing w:after="0"/>
            </w:pPr>
            <w:r>
              <w:rPr>
                <w:sz w:val="20"/>
                <w:szCs w:val="20"/>
              </w:rPr>
              <w:t xml:space="preserve">Unity Catalog Bronze Tables</w:t>
            </w:r>
          </w:p>
        </w:tc>
        <w:tc>
          <w:tcPr>
            <w:tcW w:type="pct" w:w="54%"/>
            <w:shd w:fill="F2F2F2" w:val="clear"/>
            <w:tcMar>
              <w:top w:type="dxa" w:w="80"/>
              <w:left w:type="dxa" w:w="100"/>
              <w:bottom w:type="dxa" w:w="80"/>
              <w:right w:type="dxa" w:w="100"/>
            </w:tcMar>
          </w:tcPr>
          <w:p>
            <w:pPr>
              <w:spacing w:after="0"/>
            </w:pPr>
            <w:r>
              <w:rPr>
                <w:sz w:val="20"/>
                <w:szCs w:val="20"/>
              </w:rPr>
              <w:t xml:space="preserve">Raw ingested data, one table per source (6 tables).</w:t>
            </w:r>
          </w:p>
        </w:tc>
      </w:tr>
      <w:tr>
        <w:tc>
          <w:tcPr>
            <w:tcW w:type="pct" w:w="16%"/>
            <w:tcMar>
              <w:top w:type="dxa" w:w="80"/>
              <w:left w:type="dxa" w:w="100"/>
              <w:bottom w:type="dxa" w:w="80"/>
              <w:right w:type="dxa" w:w="100"/>
            </w:tcMar>
          </w:tcPr>
          <w:p>
            <w:pPr>
              <w:spacing w:after="0"/>
            </w:pPr>
            <w:r>
              <w:rPr>
                <w:sz w:val="20"/>
                <w:szCs w:val="20"/>
              </w:rPr>
              <w:t xml:space="preserve">Final Target</w:t>
            </w:r>
          </w:p>
        </w:tc>
        <w:tc>
          <w:tcPr>
            <w:tcW w:type="pct" w:w="30%"/>
            <w:tcMar>
              <w:top w:type="dxa" w:w="80"/>
              <w:left w:type="dxa" w:w="100"/>
              <w:bottom w:type="dxa" w:w="80"/>
              <w:right w:type="dxa" w:w="100"/>
            </w:tcMar>
          </w:tcPr>
          <w:p>
            <w:pPr>
              <w:spacing w:after="0"/>
            </w:pPr>
            <w:r>
              <w:rPr>
                <w:sz w:val="20"/>
                <w:szCs w:val="20"/>
              </w:rPr>
              <w:t xml:space="preserve">Microsoft Fabric Delta Tables</w:t>
            </w:r>
          </w:p>
        </w:tc>
        <w:tc>
          <w:tcPr>
            <w:tcW w:type="pct" w:w="54%"/>
            <w:tcMar>
              <w:top w:type="dxa" w:w="80"/>
              <w:left w:type="dxa" w:w="100"/>
              <w:bottom w:type="dxa" w:w="80"/>
              <w:right w:type="dxa" w:w="100"/>
            </w:tcMar>
          </w:tcPr>
          <w:p>
            <w:pPr>
              <w:spacing w:after="0"/>
            </w:pPr>
            <w:r>
              <w:rPr>
                <w:sz w:val="20"/>
                <w:szCs w:val="20"/>
              </w:rPr>
              <w:t xml:space="preserve">Curated tables consumed directly by Power BI reports.</w:t>
            </w:r>
          </w:p>
        </w:tc>
      </w:tr>
    </w:tbl>
    <w:p>
      <w:pPr>
        <w:spacing w:after="160"/>
      </w:pPr>
    </w:p>
    <w:p>
      <w:pPr>
        <w:spacing w:after="160" w:line="276"/>
      </w:pPr>
      <w:r>
        <w:rPr>
          <w:b/>
          <w:bCs/>
          <w:sz w:val="22"/>
          <w:szCs w:val="22"/>
        </w:rPr>
        <w:t xml:space="preserve">Logical flow:</w:t>
      </w:r>
    </w:p>
    <w:p>
      <w:pPr>
        <w:pStyle w:val="ListParagraph"/>
        <w:numPr>
          <w:ilvl w:val="0"/>
          <w:numId w:val="2"/>
        </w:numPr>
        <w:spacing w:after="100"/>
      </w:pPr>
      <w:r>
        <w:rPr>
          <w:sz w:val="22"/>
          <w:szCs w:val="22"/>
        </w:rPr>
        <w:t xml:space="preserve">ADF Trigger fires the pipeline on schedule.</w:t>
      </w:r>
    </w:p>
    <w:p>
      <w:pPr>
        <w:pStyle w:val="ListParagraph"/>
        <w:numPr>
          <w:ilvl w:val="0"/>
          <w:numId w:val="2"/>
        </w:numPr>
        <w:spacing w:after="100"/>
      </w:pPr>
      <w:r>
        <w:rPr>
          <w:sz w:val="22"/>
          <w:szCs w:val="22"/>
        </w:rPr>
        <w:t xml:space="preserve">Lookup Activity retrieves the Databricks Job ID(s) required for the next step(s).</w:t>
      </w:r>
    </w:p>
    <w:p>
      <w:pPr>
        <w:pStyle w:val="ListParagraph"/>
        <w:numPr>
          <w:ilvl w:val="0"/>
          <w:numId w:val="2"/>
        </w:numPr>
        <w:spacing w:after="100"/>
      </w:pPr>
      <w:r>
        <w:rPr>
          <w:sz w:val="22"/>
          <w:szCs w:val="22"/>
        </w:rPr>
        <w:t xml:space="preserve">Databricks Job Activity #1 executes the SharePoint-to-Datalake copy notebook (with file-name validation) for all 6 sources.</w:t>
      </w:r>
    </w:p>
    <w:p>
      <w:pPr>
        <w:pStyle w:val="ListParagraph"/>
        <w:numPr>
          <w:ilvl w:val="0"/>
          <w:numId w:val="2"/>
        </w:numPr>
        <w:spacing w:after="100"/>
      </w:pPr>
      <w:r>
        <w:rPr>
          <w:sz w:val="22"/>
          <w:szCs w:val="22"/>
        </w:rPr>
        <w:t xml:space="preserve">Databricks Job Activity #2 executes 6 parallel Autoloader notebooks, each loading one source into its respective Bronze table.</w:t>
      </w:r>
    </w:p>
    <w:p>
      <w:pPr>
        <w:pStyle w:val="ListParagraph"/>
        <w:numPr>
          <w:ilvl w:val="0"/>
          <w:numId w:val="2"/>
        </w:numPr>
        <w:spacing w:after="100"/>
      </w:pPr>
      <w:r>
        <w:rPr>
          <w:sz w:val="22"/>
          <w:szCs w:val="22"/>
        </w:rPr>
        <w:t xml:space="preserve">Databricks Job Activity #3 executes the curation notebook, which reads Bronze data and loads/overwrites the corresponding Fabric Delta table based on file name.</w:t>
      </w:r>
    </w:p>
    <w:p>
      <w:pPr>
        <w:pStyle w:val="ListParagraph"/>
        <w:numPr>
          <w:ilvl w:val="0"/>
          <w:numId w:val="2"/>
        </w:numPr>
        <w:spacing w:after="100"/>
      </w:pPr>
      <w:r>
        <w:rPr>
          <w:sz w:val="22"/>
          <w:szCs w:val="22"/>
        </w:rPr>
        <w:t xml:space="preserve">On failure of any Lookup or Databricks Job activity, a Web Activity sends a failure email, followed by a Fail Activity that stops the pipeline.</w:t>
      </w:r>
    </w:p>
    <w:p>
      <w:pPr>
        <w:pStyle w:val="Heading1"/>
        <w:spacing w:after="160" w:before="360"/>
      </w:pPr>
      <w:r>
        <w:rPr>
          <w:b/>
          <w:bCs/>
          <w:color w:val="1F3864"/>
          <w:sz w:val="28"/>
          <w:szCs w:val="28"/>
        </w:rPr>
        <w:t xml:space="preserve">4. Pipeline Trigger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700"/>
        <w:gridCol w:w="6300"/>
      </w:tblGrid>
      <w:tr>
        <w:trPr>
          <w:tblHeader/>
        </w:trPr>
        <w:tc>
          <w:tcPr>
            <w:tcW w:type="pct" w:w="30%"/>
            <w:shd w:fill="1F3864" w:val="clear"/>
            <w:tcMar>
              <w:top w:type="dxa" w:w="80"/>
              <w:left w:type="dxa" w:w="100"/>
              <w:bottom w:type="dxa" w:w="80"/>
              <w:right w:type="dxa" w:w="100"/>
            </w:tcMar>
          </w:tcPr>
          <w:p>
            <w:r>
              <w:rPr>
                <w:b/>
                <w:bCs/>
                <w:color w:val="FFFFFF"/>
                <w:sz w:val="20"/>
                <w:szCs w:val="20"/>
              </w:rPr>
              <w:t xml:space="preserve">Attribute</w:t>
            </w:r>
          </w:p>
        </w:tc>
        <w:tc>
          <w:tcPr>
            <w:tcW w:type="pct" w:w="70%"/>
            <w:shd w:fill="1F3864" w:val="clear"/>
            <w:tcMar>
              <w:top w:type="dxa" w:w="80"/>
              <w:left w:type="dxa" w:w="100"/>
              <w:bottom w:type="dxa" w:w="80"/>
              <w:right w:type="dxa" w:w="100"/>
            </w:tcMar>
          </w:tcPr>
          <w:p>
            <w:r>
              <w:rPr>
                <w:b/>
                <w:bCs/>
                <w:color w:val="FFFFFF"/>
                <w:sz w:val="20"/>
                <w:szCs w:val="20"/>
              </w:rPr>
              <w:t xml:space="preserve">Value</w:t>
            </w:r>
          </w:p>
        </w:tc>
      </w:tr>
      <w:tr>
        <w:tc>
          <w:tcPr>
            <w:tcW w:type="pct" w:w="30%"/>
            <w:tcMar>
              <w:top w:type="dxa" w:w="80"/>
              <w:left w:type="dxa" w:w="100"/>
              <w:bottom w:type="dxa" w:w="80"/>
              <w:right w:type="dxa" w:w="100"/>
            </w:tcMar>
          </w:tcPr>
          <w:p>
            <w:pPr>
              <w:spacing w:after="0"/>
            </w:pPr>
            <w:r>
              <w:rPr>
                <w:sz w:val="20"/>
                <w:szCs w:val="20"/>
              </w:rPr>
              <w:t xml:space="preserve">Trigger Type</w:t>
            </w:r>
          </w:p>
        </w:tc>
        <w:tc>
          <w:tcPr>
            <w:tcW w:type="pct" w:w="70%"/>
            <w:tcMar>
              <w:top w:type="dxa" w:w="80"/>
              <w:left w:type="dxa" w:w="100"/>
              <w:bottom w:type="dxa" w:w="80"/>
              <w:right w:type="dxa" w:w="100"/>
            </w:tcMar>
          </w:tcPr>
          <w:p>
            <w:pPr>
              <w:spacing w:after="0"/>
            </w:pPr>
            <w:r>
              <w:rPr>
                <w:sz w:val="20"/>
                <w:szCs w:val="20"/>
              </w:rPr>
              <w:t xml:space="preserve">Scheduled</w:t>
            </w:r>
          </w:p>
        </w:tc>
      </w:tr>
      <w:tr>
        <w:tc>
          <w:tcPr>
            <w:tcW w:type="pct" w:w="30%"/>
            <w:shd w:fill="F2F2F2" w:val="clear"/>
            <w:tcMar>
              <w:top w:type="dxa" w:w="80"/>
              <w:left w:type="dxa" w:w="100"/>
              <w:bottom w:type="dxa" w:w="80"/>
              <w:right w:type="dxa" w:w="100"/>
            </w:tcMar>
          </w:tcPr>
          <w:p>
            <w:pPr>
              <w:spacing w:after="0"/>
            </w:pPr>
            <w:r>
              <w:rPr>
                <w:sz w:val="20"/>
                <w:szCs w:val="20"/>
              </w:rPr>
              <w:t xml:space="preserve">Frequency</w:t>
            </w:r>
          </w:p>
        </w:tc>
        <w:tc>
          <w:tcPr>
            <w:tcW w:type="pct" w:w="70%"/>
            <w:shd w:fill="F2F2F2" w:val="clear"/>
            <w:tcMar>
              <w:top w:type="dxa" w:w="80"/>
              <w:left w:type="dxa" w:w="100"/>
              <w:bottom w:type="dxa" w:w="80"/>
              <w:right w:type="dxa" w:w="100"/>
            </w:tcMar>
          </w:tcPr>
          <w:p>
            <w:pPr>
              <w:spacing w:after="0"/>
            </w:pPr>
            <w:r>
              <w:rPr>
                <w:sz w:val="20"/>
                <w:szCs w:val="20"/>
              </w:rPr>
              <w:t xml:space="preserve">Weekly</w:t>
            </w:r>
          </w:p>
        </w:tc>
      </w:tr>
      <w:tr>
        <w:tc>
          <w:tcPr>
            <w:tcW w:type="pct" w:w="30%"/>
            <w:tcMar>
              <w:top w:type="dxa" w:w="80"/>
              <w:left w:type="dxa" w:w="100"/>
              <w:bottom w:type="dxa" w:w="80"/>
              <w:right w:type="dxa" w:w="100"/>
            </w:tcMar>
          </w:tcPr>
          <w:p>
            <w:pPr>
              <w:spacing w:after="0"/>
            </w:pPr>
            <w:r>
              <w:rPr>
                <w:sz w:val="20"/>
                <w:szCs w:val="20"/>
              </w:rPr>
              <w:t xml:space="preserve">Day</w:t>
            </w:r>
          </w:p>
        </w:tc>
        <w:tc>
          <w:tcPr>
            <w:tcW w:type="pct" w:w="70%"/>
            <w:tcMar>
              <w:top w:type="dxa" w:w="80"/>
              <w:left w:type="dxa" w:w="100"/>
              <w:bottom w:type="dxa" w:w="80"/>
              <w:right w:type="dxa" w:w="100"/>
            </w:tcMar>
          </w:tcPr>
          <w:p>
            <w:pPr>
              <w:spacing w:after="0"/>
            </w:pPr>
            <w:r>
              <w:rPr>
                <w:sz w:val="20"/>
                <w:szCs w:val="20"/>
              </w:rPr>
              <w:t xml:space="preserve">Every Tuesday</w:t>
            </w:r>
          </w:p>
        </w:tc>
      </w:tr>
      <w:tr>
        <w:tc>
          <w:tcPr>
            <w:tcW w:type="pct" w:w="30%"/>
            <w:shd w:fill="F2F2F2" w:val="clear"/>
            <w:tcMar>
              <w:top w:type="dxa" w:w="80"/>
              <w:left w:type="dxa" w:w="100"/>
              <w:bottom w:type="dxa" w:w="80"/>
              <w:right w:type="dxa" w:w="100"/>
            </w:tcMar>
          </w:tcPr>
          <w:p>
            <w:pPr>
              <w:spacing w:after="0"/>
            </w:pPr>
            <w:r>
              <w:rPr>
                <w:sz w:val="20"/>
                <w:szCs w:val="20"/>
              </w:rPr>
              <w:t xml:space="preserve">Time</w:t>
            </w:r>
          </w:p>
        </w:tc>
        <w:tc>
          <w:tcPr>
            <w:tcW w:type="pct" w:w="70%"/>
            <w:shd w:fill="F2F2F2" w:val="clear"/>
            <w:tcMar>
              <w:top w:type="dxa" w:w="80"/>
              <w:left w:type="dxa" w:w="100"/>
              <w:bottom w:type="dxa" w:w="80"/>
              <w:right w:type="dxa" w:w="100"/>
            </w:tcMar>
          </w:tcPr>
          <w:p>
            <w:pPr>
              <w:spacing w:after="0"/>
            </w:pPr>
            <w:r>
              <w:rPr>
                <w:sz w:val="20"/>
                <w:szCs w:val="20"/>
              </w:rPr>
              <w:t xml:space="preserve">~5:00 PM PST</w:t>
            </w:r>
          </w:p>
        </w:tc>
      </w:tr>
      <w:tr>
        <w:tc>
          <w:tcPr>
            <w:tcW w:type="pct" w:w="30%"/>
            <w:tcMar>
              <w:top w:type="dxa" w:w="80"/>
              <w:left w:type="dxa" w:w="100"/>
              <w:bottom w:type="dxa" w:w="80"/>
              <w:right w:type="dxa" w:w="100"/>
            </w:tcMar>
          </w:tcPr>
          <w:p>
            <w:pPr>
              <w:spacing w:after="0"/>
            </w:pPr>
            <w:r>
              <w:rPr>
                <w:sz w:val="20"/>
                <w:szCs w:val="20"/>
              </w:rPr>
              <w:t xml:space="preserve">Trigger Name</w:t>
            </w:r>
          </w:p>
        </w:tc>
        <w:tc>
          <w:tcPr>
            <w:tcW w:type="pct" w:w="70%"/>
            <w:tcMar>
              <w:top w:type="dxa" w:w="80"/>
              <w:left w:type="dxa" w:w="100"/>
              <w:bottom w:type="dxa" w:w="80"/>
              <w:right w:type="dxa" w:w="100"/>
            </w:tcMar>
          </w:tcPr>
          <w:p>
            <w:pPr>
              <w:spacing w:after="0"/>
            </w:pPr>
            <w:r>
              <w:rPr>
                <w:sz w:val="20"/>
                <w:szCs w:val="20"/>
              </w:rPr>
              <w:t xml:space="preserve"/>
            </w:r>
            <w:r>
              <w:rPr>
                <w:i/>
                <w:iCs/>
                <w:color w:val="C00000"/>
                <w:sz w:val="20"/>
                <w:szCs w:val="20"/>
              </w:rPr>
              <w:t xml:space="preserve">[Trigger Name]</w:t>
            </w:r>
          </w:p>
        </w:tc>
      </w:tr>
      <w:tr>
        <w:tc>
          <w:tcPr>
            <w:tcW w:type="pct" w:w="30%"/>
            <w:shd w:fill="F2F2F2" w:val="clear"/>
            <w:tcMar>
              <w:top w:type="dxa" w:w="80"/>
              <w:left w:type="dxa" w:w="100"/>
              <w:bottom w:type="dxa" w:w="80"/>
              <w:right w:type="dxa" w:w="100"/>
            </w:tcMar>
          </w:tcPr>
          <w:p>
            <w:pPr>
              <w:spacing w:after="0"/>
            </w:pPr>
            <w:r>
              <w:rPr>
                <w:sz w:val="20"/>
                <w:szCs w:val="20"/>
              </w:rPr>
              <w:t xml:space="preserve">Time Zone Handling</w:t>
            </w:r>
          </w:p>
        </w:tc>
        <w:tc>
          <w:tcPr>
            <w:tcW w:type="pct" w:w="70%"/>
            <w:shd w:fill="F2F2F2" w:val="clear"/>
            <w:tcMar>
              <w:top w:type="dxa" w:w="80"/>
              <w:left w:type="dxa" w:w="100"/>
              <w:bottom w:type="dxa" w:w="80"/>
              <w:right w:type="dxa" w:w="100"/>
            </w:tcMar>
          </w:tcPr>
          <w:p>
            <w:pPr>
              <w:spacing w:after="0"/>
            </w:pPr>
            <w:r>
              <w:rPr>
                <w:sz w:val="20"/>
                <w:szCs w:val="20"/>
              </w:rPr>
              <w:t xml:space="preserve"/>
            </w:r>
            <w:r>
              <w:rPr>
                <w:i/>
                <w:iCs/>
                <w:color w:val="C00000"/>
                <w:sz w:val="20"/>
                <w:szCs w:val="20"/>
              </w:rPr>
              <w:t xml:space="preserve">[Confirm PST vs PDT / DST handling in ADF trigger definition]</w:t>
            </w:r>
          </w:p>
        </w:tc>
      </w:tr>
    </w:tbl>
    <w:p>
      <w:pPr>
        <w:pStyle w:val="Heading1"/>
        <w:spacing w:after="160" w:before="360"/>
      </w:pPr>
      <w:r>
        <w:rPr>
          <w:b/>
          <w:bCs/>
          <w:color w:val="1F3864"/>
          <w:sz w:val="28"/>
          <w:szCs w:val="28"/>
        </w:rPr>
        <w:t xml:space="preserve">5. ADF Pipeline Flow — Detailed Design</w:t>
      </w:r>
    </w:p>
    <w:p>
      <w:pPr>
        <w:spacing w:after="160" w:line="276"/>
      </w:pPr>
      <w:r>
        <w:rPr>
          <w:sz w:val="22"/>
          <w:szCs w:val="22"/>
        </w:rPr>
        <w:t xml:space="preserve">The pipeline </w:t>
      </w:r>
    </w:p>
    <w:p>
      <w:pPr>
        <w:spacing w:after="160" w:line="276"/>
      </w:pPr>
      <w:r>
        <w:rPr>
          <w:sz w:val="22"/>
          <w:szCs w:val="22"/>
        </w:rPr>
        <w:t xml:space="preserve">Pipeline name: </w:t>
      </w:r>
      <w:r>
        <w:rPr>
          <w:i/>
          <w:iCs/>
          <w:color w:val="C00000"/>
          <w:sz w:val="22"/>
          <w:szCs w:val="22"/>
        </w:rPr>
        <w:t xml:space="preserve">[Pipeline Name]</w:t>
      </w:r>
      <w:r>
        <w:rPr>
          <w:sz w:val="22"/>
          <w:szCs w:val="22"/>
        </w:rPr>
        <w:t xml:space="preserve"> consists of the following activities executed sequentially, with failure branches attached to each Lookup and Databricks Job activity.</w:t>
      </w:r>
    </w:p>
    <w:p>
      <w:pPr>
        <w:pStyle w:val="Heading2"/>
        <w:spacing w:after="120" w:before="280"/>
      </w:pPr>
      <w:r>
        <w:rPr>
          <w:b/>
          <w:bCs/>
          <w:color w:val="2E75B6"/>
          <w:sz w:val="24"/>
          <w:szCs w:val="24"/>
        </w:rPr>
        <w:t xml:space="preserve">5.1 Activity Sequence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540"/>
        <w:gridCol w:w="2160"/>
        <w:gridCol w:w="1440"/>
        <w:gridCol w:w="3600"/>
        <w:gridCol w:w="1260"/>
      </w:tblGrid>
      <w:tr>
        <w:trPr>
          <w:tblHeader/>
        </w:trPr>
        <w:tc>
          <w:tcPr>
            <w:tcW w:type="pct" w:w="6%"/>
            <w:shd w:fill="1F3864" w:val="clear"/>
            <w:tcMar>
              <w:top w:type="dxa" w:w="80"/>
              <w:left w:type="dxa" w:w="100"/>
              <w:bottom w:type="dxa" w:w="80"/>
              <w:right w:type="dxa" w:w="100"/>
            </w:tcMar>
          </w:tcPr>
          <w:p>
            <w:r>
              <w:rPr>
                <w:b/>
                <w:bCs/>
                <w:color w:val="FFFFFF"/>
                <w:sz w:val="20"/>
                <w:szCs w:val="20"/>
              </w:rPr>
              <w:t xml:space="preserve">#</w:t>
            </w:r>
          </w:p>
        </w:tc>
        <w:tc>
          <w:tcPr>
            <w:tcW w:type="pct" w:w="24%"/>
            <w:shd w:fill="1F3864" w:val="clear"/>
            <w:tcMar>
              <w:top w:type="dxa" w:w="80"/>
              <w:left w:type="dxa" w:w="100"/>
              <w:bottom w:type="dxa" w:w="80"/>
              <w:right w:type="dxa" w:w="100"/>
            </w:tcMar>
          </w:tcPr>
          <w:p>
            <w:r>
              <w:rPr>
                <w:b/>
                <w:bCs/>
                <w:color w:val="FFFFFF"/>
                <w:sz w:val="20"/>
                <w:szCs w:val="20"/>
              </w:rPr>
              <w:t xml:space="preserve">Activity Name</w:t>
            </w:r>
          </w:p>
        </w:tc>
        <w:tc>
          <w:tcPr>
            <w:tcW w:type="pct" w:w="16%"/>
            <w:shd w:fill="1F3864" w:val="clear"/>
            <w:tcMar>
              <w:top w:type="dxa" w:w="80"/>
              <w:left w:type="dxa" w:w="100"/>
              <w:bottom w:type="dxa" w:w="80"/>
              <w:right w:type="dxa" w:w="100"/>
            </w:tcMar>
          </w:tcPr>
          <w:p>
            <w:r>
              <w:rPr>
                <w:b/>
                <w:bCs/>
                <w:color w:val="FFFFFF"/>
                <w:sz w:val="20"/>
                <w:szCs w:val="20"/>
              </w:rPr>
              <w:t xml:space="preserve">Activity Type</w:t>
            </w:r>
          </w:p>
        </w:tc>
        <w:tc>
          <w:tcPr>
            <w:tcW w:type="pct" w:w="40%"/>
            <w:shd w:fill="1F3864" w:val="clear"/>
            <w:tcMar>
              <w:top w:type="dxa" w:w="80"/>
              <w:left w:type="dxa" w:w="100"/>
              <w:bottom w:type="dxa" w:w="80"/>
              <w:right w:type="dxa" w:w="100"/>
            </w:tcMar>
          </w:tcPr>
          <w:p>
            <w:r>
              <w:rPr>
                <w:b/>
                <w:bCs/>
                <w:color w:val="FFFFFF"/>
                <w:sz w:val="20"/>
                <w:szCs w:val="20"/>
              </w:rPr>
              <w:t xml:space="preserve">Purpose</w:t>
            </w:r>
          </w:p>
        </w:tc>
        <w:tc>
          <w:tcPr>
            <w:tcW w:type="pct" w:w="14%"/>
            <w:shd w:fill="1F3864" w:val="clear"/>
            <w:tcMar>
              <w:top w:type="dxa" w:w="80"/>
              <w:left w:type="dxa" w:w="100"/>
              <w:bottom w:type="dxa" w:w="80"/>
              <w:right w:type="dxa" w:w="100"/>
            </w:tcMar>
          </w:tcPr>
          <w:p>
            <w:r>
              <w:rPr>
                <w:b/>
                <w:bCs/>
                <w:color w:val="FFFFFF"/>
                <w:sz w:val="20"/>
                <w:szCs w:val="20"/>
              </w:rPr>
              <w:t xml:space="preserve">On Failure</w:t>
            </w:r>
          </w:p>
        </w:tc>
      </w:tr>
      <w:tr>
        <w:tc>
          <w:tcPr>
            <w:tcW w:type="pct" w:w="6%"/>
            <w:tcMar>
              <w:top w:type="dxa" w:w="80"/>
              <w:left w:type="dxa" w:w="100"/>
              <w:bottom w:type="dxa" w:w="80"/>
              <w:right w:type="dxa" w:w="100"/>
            </w:tcMar>
          </w:tcPr>
          <w:p>
            <w:pPr>
              <w:spacing w:after="0"/>
            </w:pPr>
            <w:r>
              <w:rPr>
                <w:sz w:val="20"/>
                <w:szCs w:val="20"/>
              </w:rPr>
              <w:t xml:space="preserve">1</w:t>
            </w:r>
          </w:p>
        </w:tc>
        <w:tc>
          <w:tcPr>
            <w:tcW w:type="pct" w:w="24%"/>
            <w:tcMar>
              <w:top w:type="dxa" w:w="80"/>
              <w:left w:type="dxa" w:w="100"/>
              <w:bottom w:type="dxa" w:w="80"/>
              <w:right w:type="dxa" w:w="100"/>
            </w:tcMar>
          </w:tcPr>
          <w:p>
            <w:pPr>
              <w:spacing w:after="0"/>
            </w:pPr>
            <w:r>
              <w:rPr>
                <w:sz w:val="20"/>
                <w:szCs w:val="20"/>
              </w:rPr>
              <w:t xml:space="preserve"/>
            </w:r>
            <w:r>
              <w:rPr>
                <w:i/>
                <w:iCs/>
                <w:color w:val="C00000"/>
                <w:sz w:val="20"/>
                <w:szCs w:val="20"/>
              </w:rPr>
              <w:t xml:space="preserve">[Lookup - Get Job ID]</w:t>
            </w:r>
          </w:p>
        </w:tc>
        <w:tc>
          <w:tcPr>
            <w:tcW w:type="pct" w:w="16%"/>
            <w:tcMar>
              <w:top w:type="dxa" w:w="80"/>
              <w:left w:type="dxa" w:w="100"/>
              <w:bottom w:type="dxa" w:w="80"/>
              <w:right w:type="dxa" w:w="100"/>
            </w:tcMar>
          </w:tcPr>
          <w:p>
            <w:pPr>
              <w:spacing w:after="0"/>
            </w:pPr>
            <w:r>
              <w:rPr>
                <w:sz w:val="20"/>
                <w:szCs w:val="20"/>
              </w:rPr>
              <w:t xml:space="preserve">Lookup</w:t>
            </w:r>
          </w:p>
        </w:tc>
        <w:tc>
          <w:tcPr>
            <w:tcW w:type="pct" w:w="40%"/>
            <w:tcMar>
              <w:top w:type="dxa" w:w="80"/>
              <w:left w:type="dxa" w:w="100"/>
              <w:bottom w:type="dxa" w:w="80"/>
              <w:right w:type="dxa" w:w="100"/>
            </w:tcMar>
          </w:tcPr>
          <w:p>
            <w:pPr>
              <w:spacing w:after="0"/>
            </w:pPr>
            <w:r>
              <w:rPr>
                <w:sz w:val="20"/>
                <w:szCs w:val="20"/>
              </w:rPr>
              <w:t xml:space="preserve">Fetches the Databricks Job ID to be used in the subsequent Databricks Job activity.</w:t>
            </w:r>
          </w:p>
        </w:tc>
        <w:tc>
          <w:tcPr>
            <w:tcW w:type="pct" w:w="14%"/>
            <w:tcMar>
              <w:top w:type="dxa" w:w="80"/>
              <w:left w:type="dxa" w:w="100"/>
              <w:bottom w:type="dxa" w:w="80"/>
              <w:right w:type="dxa" w:w="100"/>
            </w:tcMar>
          </w:tcPr>
          <w:p>
            <w:pPr>
              <w:spacing w:after="0"/>
            </w:pPr>
            <w:r>
              <w:rPr>
                <w:sz w:val="20"/>
                <w:szCs w:val="20"/>
              </w:rPr>
              <w:t xml:space="preserve">Web Activity → Failure Email → Fail Activity</w:t>
            </w:r>
          </w:p>
        </w:tc>
      </w:tr>
      <w:tr>
        <w:tc>
          <w:tcPr>
            <w:tcW w:type="pct" w:w="6%"/>
            <w:shd w:fill="F2F2F2" w:val="clear"/>
            <w:tcMar>
              <w:top w:type="dxa" w:w="80"/>
              <w:left w:type="dxa" w:w="100"/>
              <w:bottom w:type="dxa" w:w="80"/>
              <w:right w:type="dxa" w:w="100"/>
            </w:tcMar>
          </w:tcPr>
          <w:p>
            <w:pPr>
              <w:spacing w:after="0"/>
            </w:pPr>
            <w:r>
              <w:rPr>
                <w:sz w:val="20"/>
                <w:szCs w:val="20"/>
              </w:rPr>
              <w:t xml:space="preserve">2</w:t>
            </w:r>
          </w:p>
        </w:tc>
        <w:tc>
          <w:tcPr>
            <w:tcW w:type="pct" w:w="24%"/>
            <w:shd w:fill="F2F2F2" w:val="clear"/>
            <w:tcMar>
              <w:top w:type="dxa" w:w="80"/>
              <w:left w:type="dxa" w:w="100"/>
              <w:bottom w:type="dxa" w:w="80"/>
              <w:right w:type="dxa" w:w="100"/>
            </w:tcMar>
          </w:tcPr>
          <w:p>
            <w:pPr>
              <w:spacing w:after="0"/>
            </w:pPr>
            <w:r>
              <w:rPr>
                <w:sz w:val="20"/>
                <w:szCs w:val="20"/>
              </w:rPr>
              <w:t xml:space="preserve"/>
            </w:r>
            <w:r>
              <w:rPr>
                <w:i/>
                <w:iCs/>
                <w:color w:val="C00000"/>
                <w:sz w:val="20"/>
                <w:szCs w:val="20"/>
              </w:rPr>
              <w:t xml:space="preserve">[Databricks Job - Copy SharePoint Files]</w:t>
            </w:r>
          </w:p>
        </w:tc>
        <w:tc>
          <w:tcPr>
            <w:tcW w:type="pct" w:w="16%"/>
            <w:shd w:fill="F2F2F2" w:val="clear"/>
            <w:tcMar>
              <w:top w:type="dxa" w:w="80"/>
              <w:left w:type="dxa" w:w="100"/>
              <w:bottom w:type="dxa" w:w="80"/>
              <w:right w:type="dxa" w:w="100"/>
            </w:tcMar>
          </w:tcPr>
          <w:p>
            <w:pPr>
              <w:spacing w:after="0"/>
            </w:pPr>
            <w:r>
              <w:rPr>
                <w:sz w:val="20"/>
                <w:szCs w:val="20"/>
              </w:rPr>
              <w:t xml:space="preserve">Databricks Job Activity</w:t>
            </w:r>
          </w:p>
        </w:tc>
        <w:tc>
          <w:tcPr>
            <w:tcW w:type="pct" w:w="40%"/>
            <w:shd w:fill="F2F2F2" w:val="clear"/>
            <w:tcMar>
              <w:top w:type="dxa" w:w="80"/>
              <w:left w:type="dxa" w:w="100"/>
              <w:bottom w:type="dxa" w:w="80"/>
              <w:right w:type="dxa" w:w="100"/>
            </w:tcMar>
          </w:tcPr>
          <w:p>
            <w:pPr>
              <w:spacing w:after="0"/>
            </w:pPr>
            <w:r>
              <w:rPr>
                <w:sz w:val="20"/>
                <w:szCs w:val="20"/>
              </w:rPr>
              <w:t xml:space="preserve">Runs Notebook 1: copies 6 source files from SharePoint to data lake with file-name validation.</w:t>
            </w:r>
          </w:p>
        </w:tc>
        <w:tc>
          <w:tcPr>
            <w:tcW w:type="pct" w:w="14%"/>
            <w:shd w:fill="F2F2F2" w:val="clear"/>
            <w:tcMar>
              <w:top w:type="dxa" w:w="80"/>
              <w:left w:type="dxa" w:w="100"/>
              <w:bottom w:type="dxa" w:w="80"/>
              <w:right w:type="dxa" w:w="100"/>
            </w:tcMar>
          </w:tcPr>
          <w:p>
            <w:pPr>
              <w:spacing w:after="0"/>
            </w:pPr>
            <w:r>
              <w:rPr>
                <w:sz w:val="20"/>
                <w:szCs w:val="20"/>
              </w:rPr>
              <w:t xml:space="preserve">Web Activity → Failure Email → Fail Activity</w:t>
            </w:r>
          </w:p>
        </w:tc>
      </w:tr>
      <w:tr>
        <w:tc>
          <w:tcPr>
            <w:tcW w:type="pct" w:w="6%"/>
            <w:tcMar>
              <w:top w:type="dxa" w:w="80"/>
              <w:left w:type="dxa" w:w="100"/>
              <w:bottom w:type="dxa" w:w="80"/>
              <w:right w:type="dxa" w:w="100"/>
            </w:tcMar>
          </w:tcPr>
          <w:p>
            <w:pPr>
              <w:spacing w:after="0"/>
            </w:pPr>
            <w:r>
              <w:rPr>
                <w:sz w:val="20"/>
                <w:szCs w:val="20"/>
              </w:rPr>
              <w:t xml:space="preserve">3</w:t>
            </w:r>
          </w:p>
        </w:tc>
        <w:tc>
          <w:tcPr>
            <w:tcW w:type="pct" w:w="24%"/>
            <w:tcMar>
              <w:top w:type="dxa" w:w="80"/>
              <w:left w:type="dxa" w:w="100"/>
              <w:bottom w:type="dxa" w:w="80"/>
              <w:right w:type="dxa" w:w="100"/>
            </w:tcMar>
          </w:tcPr>
          <w:p>
            <w:pPr>
              <w:spacing w:after="0"/>
            </w:pPr>
            <w:r>
              <w:rPr>
                <w:sz w:val="20"/>
                <w:szCs w:val="20"/>
              </w:rPr>
              <w:t xml:space="preserve"/>
            </w:r>
            <w:r>
              <w:rPr>
                <w:i/>
                <w:iCs/>
                <w:color w:val="C00000"/>
                <w:sz w:val="20"/>
                <w:szCs w:val="20"/>
              </w:rPr>
              <w:t xml:space="preserve">[Lookup - Get Job ID]</w:t>
            </w:r>
          </w:p>
        </w:tc>
        <w:tc>
          <w:tcPr>
            <w:tcW w:type="pct" w:w="16%"/>
            <w:tcMar>
              <w:top w:type="dxa" w:w="80"/>
              <w:left w:type="dxa" w:w="100"/>
              <w:bottom w:type="dxa" w:w="80"/>
              <w:right w:type="dxa" w:w="100"/>
            </w:tcMar>
          </w:tcPr>
          <w:p>
            <w:pPr>
              <w:spacing w:after="0"/>
            </w:pPr>
            <w:r>
              <w:rPr>
                <w:sz w:val="20"/>
                <w:szCs w:val="20"/>
              </w:rPr>
              <w:t xml:space="preserve">Lookup</w:t>
            </w:r>
          </w:p>
        </w:tc>
        <w:tc>
          <w:tcPr>
            <w:tcW w:type="pct" w:w="40%"/>
            <w:tcMar>
              <w:top w:type="dxa" w:w="80"/>
              <w:left w:type="dxa" w:w="100"/>
              <w:bottom w:type="dxa" w:w="80"/>
              <w:right w:type="dxa" w:w="100"/>
            </w:tcMar>
          </w:tcPr>
          <w:p>
            <w:pPr>
              <w:spacing w:after="0"/>
            </w:pPr>
            <w:r>
              <w:rPr>
                <w:sz w:val="20"/>
                <w:szCs w:val="20"/>
              </w:rPr>
              <w:t xml:space="preserve">Fetches the Databricks Job ID for the Autoloader job.</w:t>
            </w:r>
          </w:p>
        </w:tc>
        <w:tc>
          <w:tcPr>
            <w:tcW w:type="pct" w:w="14%"/>
            <w:tcMar>
              <w:top w:type="dxa" w:w="80"/>
              <w:left w:type="dxa" w:w="100"/>
              <w:bottom w:type="dxa" w:w="80"/>
              <w:right w:type="dxa" w:w="100"/>
            </w:tcMar>
          </w:tcPr>
          <w:p>
            <w:pPr>
              <w:spacing w:after="0"/>
            </w:pPr>
            <w:r>
              <w:rPr>
                <w:sz w:val="20"/>
                <w:szCs w:val="20"/>
              </w:rPr>
              <w:t xml:space="preserve">Web Activity → Failure Email → Fail Activity</w:t>
            </w:r>
          </w:p>
        </w:tc>
      </w:tr>
      <w:tr>
        <w:tc>
          <w:tcPr>
            <w:tcW w:type="pct" w:w="6%"/>
            <w:shd w:fill="F2F2F2" w:val="clear"/>
            <w:tcMar>
              <w:top w:type="dxa" w:w="80"/>
              <w:left w:type="dxa" w:w="100"/>
              <w:bottom w:type="dxa" w:w="80"/>
              <w:right w:type="dxa" w:w="100"/>
            </w:tcMar>
          </w:tcPr>
          <w:p>
            <w:pPr>
              <w:spacing w:after="0"/>
            </w:pPr>
            <w:r>
              <w:rPr>
                <w:sz w:val="20"/>
                <w:szCs w:val="20"/>
              </w:rPr>
              <w:t xml:space="preserve">4</w:t>
            </w:r>
          </w:p>
        </w:tc>
        <w:tc>
          <w:tcPr>
            <w:tcW w:type="pct" w:w="24%"/>
            <w:shd w:fill="F2F2F2" w:val="clear"/>
            <w:tcMar>
              <w:top w:type="dxa" w:w="80"/>
              <w:left w:type="dxa" w:w="100"/>
              <w:bottom w:type="dxa" w:w="80"/>
              <w:right w:type="dxa" w:w="100"/>
            </w:tcMar>
          </w:tcPr>
          <w:p>
            <w:pPr>
              <w:spacing w:after="0"/>
            </w:pPr>
            <w:r>
              <w:rPr>
                <w:sz w:val="20"/>
                <w:szCs w:val="20"/>
              </w:rPr>
              <w:t xml:space="preserve"/>
            </w:r>
            <w:r>
              <w:rPr>
                <w:i/>
                <w:iCs/>
                <w:color w:val="C00000"/>
                <w:sz w:val="20"/>
                <w:szCs w:val="20"/>
              </w:rPr>
              <w:t xml:space="preserve">[Databricks Job - Bronze Autoloader]</w:t>
            </w:r>
          </w:p>
        </w:tc>
        <w:tc>
          <w:tcPr>
            <w:tcW w:type="pct" w:w="16%"/>
            <w:shd w:fill="F2F2F2" w:val="clear"/>
            <w:tcMar>
              <w:top w:type="dxa" w:w="80"/>
              <w:left w:type="dxa" w:w="100"/>
              <w:bottom w:type="dxa" w:w="80"/>
              <w:right w:type="dxa" w:w="100"/>
            </w:tcMar>
          </w:tcPr>
          <w:p>
            <w:pPr>
              <w:spacing w:after="0"/>
            </w:pPr>
            <w:r>
              <w:rPr>
                <w:sz w:val="20"/>
                <w:szCs w:val="20"/>
              </w:rPr>
              <w:t xml:space="preserve">Databricks Job Activity</w:t>
            </w:r>
          </w:p>
        </w:tc>
        <w:tc>
          <w:tcPr>
            <w:tcW w:type="pct" w:w="40%"/>
            <w:shd w:fill="F2F2F2" w:val="clear"/>
            <w:tcMar>
              <w:top w:type="dxa" w:w="80"/>
              <w:left w:type="dxa" w:w="100"/>
              <w:bottom w:type="dxa" w:w="80"/>
              <w:right w:type="dxa" w:w="100"/>
            </w:tcMar>
          </w:tcPr>
          <w:p>
            <w:pPr>
              <w:spacing w:after="0"/>
            </w:pPr>
            <w:r>
              <w:rPr>
                <w:sz w:val="20"/>
                <w:szCs w:val="20"/>
              </w:rPr>
              <w:t xml:space="preserve">Runs 6 parallel notebooks via Autoloader, one per source, loading data into respective Bronze tables.</w:t>
            </w:r>
          </w:p>
        </w:tc>
        <w:tc>
          <w:tcPr>
            <w:tcW w:type="pct" w:w="14%"/>
            <w:shd w:fill="F2F2F2" w:val="clear"/>
            <w:tcMar>
              <w:top w:type="dxa" w:w="80"/>
              <w:left w:type="dxa" w:w="100"/>
              <w:bottom w:type="dxa" w:w="80"/>
              <w:right w:type="dxa" w:w="100"/>
            </w:tcMar>
          </w:tcPr>
          <w:p>
            <w:pPr>
              <w:spacing w:after="0"/>
            </w:pPr>
            <w:r>
              <w:rPr>
                <w:sz w:val="20"/>
                <w:szCs w:val="20"/>
              </w:rPr>
              <w:t xml:space="preserve">Web Activity → Failure Email → Fail Activity</w:t>
            </w:r>
          </w:p>
        </w:tc>
      </w:tr>
      <w:tr>
        <w:tc>
          <w:tcPr>
            <w:tcW w:type="pct" w:w="6%"/>
            <w:tcMar>
              <w:top w:type="dxa" w:w="80"/>
              <w:left w:type="dxa" w:w="100"/>
              <w:bottom w:type="dxa" w:w="80"/>
              <w:right w:type="dxa" w:w="100"/>
            </w:tcMar>
          </w:tcPr>
          <w:p>
            <w:pPr>
              <w:spacing w:after="0"/>
            </w:pPr>
            <w:r>
              <w:rPr>
                <w:sz w:val="20"/>
                <w:szCs w:val="20"/>
              </w:rPr>
              <w:t xml:space="preserve">5</w:t>
            </w:r>
          </w:p>
        </w:tc>
        <w:tc>
          <w:tcPr>
            <w:tcW w:type="pct" w:w="24%"/>
            <w:tcMar>
              <w:top w:type="dxa" w:w="80"/>
              <w:left w:type="dxa" w:w="100"/>
              <w:bottom w:type="dxa" w:w="80"/>
              <w:right w:type="dxa" w:w="100"/>
            </w:tcMar>
          </w:tcPr>
          <w:p>
            <w:pPr>
              <w:spacing w:after="0"/>
            </w:pPr>
            <w:r>
              <w:rPr>
                <w:sz w:val="20"/>
                <w:szCs w:val="20"/>
              </w:rPr>
              <w:t xml:space="preserve"/>
            </w:r>
            <w:r>
              <w:rPr>
                <w:i/>
                <w:iCs/>
                <w:color w:val="C00000"/>
                <w:sz w:val="20"/>
                <w:szCs w:val="20"/>
              </w:rPr>
              <w:t xml:space="preserve">[Lookup - Get Job ID]</w:t>
            </w:r>
          </w:p>
        </w:tc>
        <w:tc>
          <w:tcPr>
            <w:tcW w:type="pct" w:w="16%"/>
            <w:tcMar>
              <w:top w:type="dxa" w:w="80"/>
              <w:left w:type="dxa" w:w="100"/>
              <w:bottom w:type="dxa" w:w="80"/>
              <w:right w:type="dxa" w:w="100"/>
            </w:tcMar>
          </w:tcPr>
          <w:p>
            <w:pPr>
              <w:spacing w:after="0"/>
            </w:pPr>
            <w:r>
              <w:rPr>
                <w:sz w:val="20"/>
                <w:szCs w:val="20"/>
              </w:rPr>
              <w:t xml:space="preserve">Lookup</w:t>
            </w:r>
          </w:p>
        </w:tc>
        <w:tc>
          <w:tcPr>
            <w:tcW w:type="pct" w:w="40%"/>
            <w:tcMar>
              <w:top w:type="dxa" w:w="80"/>
              <w:left w:type="dxa" w:w="100"/>
              <w:bottom w:type="dxa" w:w="80"/>
              <w:right w:type="dxa" w:w="100"/>
            </w:tcMar>
          </w:tcPr>
          <w:p>
            <w:pPr>
              <w:spacing w:after="0"/>
            </w:pPr>
            <w:r>
              <w:rPr>
                <w:sz w:val="20"/>
                <w:szCs w:val="20"/>
              </w:rPr>
              <w:t xml:space="preserve">Fetches the Databricks Job ID for the Fabric curation job.</w:t>
            </w:r>
          </w:p>
        </w:tc>
        <w:tc>
          <w:tcPr>
            <w:tcW w:type="pct" w:w="14%"/>
            <w:tcMar>
              <w:top w:type="dxa" w:w="80"/>
              <w:left w:type="dxa" w:w="100"/>
              <w:bottom w:type="dxa" w:w="80"/>
              <w:right w:type="dxa" w:w="100"/>
            </w:tcMar>
          </w:tcPr>
          <w:p>
            <w:pPr>
              <w:spacing w:after="0"/>
            </w:pPr>
            <w:r>
              <w:rPr>
                <w:sz w:val="20"/>
                <w:szCs w:val="20"/>
              </w:rPr>
              <w:t xml:space="preserve">Web Activity → Failure Email → Fail Activity</w:t>
            </w:r>
          </w:p>
        </w:tc>
      </w:tr>
      <w:tr>
        <w:tc>
          <w:tcPr>
            <w:tcW w:type="pct" w:w="6%"/>
            <w:shd w:fill="F2F2F2" w:val="clear"/>
            <w:tcMar>
              <w:top w:type="dxa" w:w="80"/>
              <w:left w:type="dxa" w:w="100"/>
              <w:bottom w:type="dxa" w:w="80"/>
              <w:right w:type="dxa" w:w="100"/>
            </w:tcMar>
          </w:tcPr>
          <w:p>
            <w:pPr>
              <w:spacing w:after="0"/>
            </w:pPr>
            <w:r>
              <w:rPr>
                <w:sz w:val="20"/>
                <w:szCs w:val="20"/>
              </w:rPr>
              <w:t xml:space="preserve">6</w:t>
            </w:r>
          </w:p>
        </w:tc>
        <w:tc>
          <w:tcPr>
            <w:tcW w:type="pct" w:w="24%"/>
            <w:shd w:fill="F2F2F2" w:val="clear"/>
            <w:tcMar>
              <w:top w:type="dxa" w:w="80"/>
              <w:left w:type="dxa" w:w="100"/>
              <w:bottom w:type="dxa" w:w="80"/>
              <w:right w:type="dxa" w:w="100"/>
            </w:tcMar>
          </w:tcPr>
          <w:p>
            <w:pPr>
              <w:spacing w:after="0"/>
            </w:pPr>
            <w:r>
              <w:rPr>
                <w:sz w:val="20"/>
                <w:szCs w:val="20"/>
              </w:rPr>
              <w:t xml:space="preserve"/>
            </w:r>
            <w:r>
              <w:rPr>
                <w:i/>
                <w:iCs/>
                <w:color w:val="C00000"/>
                <w:sz w:val="20"/>
                <w:szCs w:val="20"/>
              </w:rPr>
              <w:t xml:space="preserve">[Databricks Job - Bronze to Fabric Load]</w:t>
            </w:r>
          </w:p>
        </w:tc>
        <w:tc>
          <w:tcPr>
            <w:tcW w:type="pct" w:w="16%"/>
            <w:shd w:fill="F2F2F2" w:val="clear"/>
            <w:tcMar>
              <w:top w:type="dxa" w:w="80"/>
              <w:left w:type="dxa" w:w="100"/>
              <w:bottom w:type="dxa" w:w="80"/>
              <w:right w:type="dxa" w:w="100"/>
            </w:tcMar>
          </w:tcPr>
          <w:p>
            <w:pPr>
              <w:spacing w:after="0"/>
            </w:pPr>
            <w:r>
              <w:rPr>
                <w:sz w:val="20"/>
                <w:szCs w:val="20"/>
              </w:rPr>
              <w:t xml:space="preserve">Databricks Job Activity</w:t>
            </w:r>
          </w:p>
        </w:tc>
        <w:tc>
          <w:tcPr>
            <w:tcW w:type="pct" w:w="40%"/>
            <w:shd w:fill="F2F2F2" w:val="clear"/>
            <w:tcMar>
              <w:top w:type="dxa" w:w="80"/>
              <w:left w:type="dxa" w:w="100"/>
              <w:bottom w:type="dxa" w:w="80"/>
              <w:right w:type="dxa" w:w="100"/>
            </w:tcMar>
          </w:tcPr>
          <w:p>
            <w:pPr>
              <w:spacing w:after="0"/>
            </w:pPr>
            <w:r>
              <w:rPr>
                <w:sz w:val="20"/>
                <w:szCs w:val="20"/>
              </w:rPr>
              <w:t xml:space="preserve">Runs Notebook 3: reads Bronze table(s), loads/overwrites Fabric Delta table based on file name.</w:t>
            </w:r>
          </w:p>
        </w:tc>
        <w:tc>
          <w:tcPr>
            <w:tcW w:type="pct" w:w="14%"/>
            <w:shd w:fill="F2F2F2" w:val="clear"/>
            <w:tcMar>
              <w:top w:type="dxa" w:w="80"/>
              <w:left w:type="dxa" w:w="100"/>
              <w:bottom w:type="dxa" w:w="80"/>
              <w:right w:type="dxa" w:w="100"/>
            </w:tcMar>
          </w:tcPr>
          <w:p>
            <w:pPr>
              <w:spacing w:after="0"/>
            </w:pPr>
            <w:r>
              <w:rPr>
                <w:sz w:val="20"/>
                <w:szCs w:val="20"/>
              </w:rPr>
              <w:t xml:space="preserve">Web Activity → Failure Email → Fail Activity</w:t>
            </w:r>
          </w:p>
        </w:tc>
      </w:tr>
    </w:tbl>
    <w:p>
      <w:pPr>
        <w:spacing w:after="160"/>
      </w:pPr>
    </w:p>
    <w:p>
      <w:pPr>
        <w:spacing w:after="160" w:line="276"/>
      </w:pPr>
      <w:r>
        <w:rPr>
          <w:i/>
          <w:iCs/>
          <w:color w:val="595959"/>
          <w:sz w:val="20"/>
          <w:szCs w:val="20"/>
        </w:rPr>
        <w:t xml:space="preserve">Note: Confirm the exact number and placement of Lookup activities — the flow above assumes one Lookup precedes each Databricks Job activity to fetch its corresponding Job ID. Adjust the table above if a single Lookup retrieves all Job IDs upfront.</w:t>
      </w:r>
    </w:p>
    <w:p>
      <w:pPr>
        <w:pStyle w:val="Heading2"/>
        <w:spacing w:after="120" w:before="280"/>
      </w:pPr>
      <w:r>
        <w:rPr>
          <w:b/>
          <w:bCs/>
          <w:color w:val="2E75B6"/>
          <w:sz w:val="24"/>
          <w:szCs w:val="24"/>
        </w:rPr>
        <w:t xml:space="preserve">5.2 Failure Handling Path</w:t>
      </w:r>
    </w:p>
    <w:p>
      <w:pPr>
        <w:spacing w:after="160" w:line="276"/>
      </w:pPr>
      <w:r>
        <w:rPr>
          <w:sz w:val="22"/>
          <w:szCs w:val="22"/>
        </w:rPr>
        <w:t xml:space="preserve">Every Lookup and Databricks Job activity in the pipeline has an 'On Failure' dependency condition connected to a common failure-handling path:</w:t>
      </w:r>
    </w:p>
    <w:p>
      <w:pPr>
        <w:pStyle w:val="ListParagraph"/>
        <w:numPr>
          <w:ilvl w:val="0"/>
          <w:numId w:val="3"/>
        </w:numPr>
        <w:spacing w:after="100"/>
      </w:pPr>
      <w:r>
        <w:rPr>
          <w:sz w:val="22"/>
          <w:szCs w:val="22"/>
        </w:rPr>
        <w:t xml:space="preserve">Web Activity — invokes an email-notification endpoint (e.g., Logic App / Azure Function) passing the failed activity name, error message, and the FailureEmailRecipient parameter.</w:t>
      </w:r>
    </w:p>
    <w:p>
      <w:pPr>
        <w:pStyle w:val="ListParagraph"/>
        <w:numPr>
          <w:ilvl w:val="0"/>
          <w:numId w:val="3"/>
        </w:numPr>
        <w:spacing w:after="100"/>
      </w:pPr>
      <w:r>
        <w:rPr>
          <w:sz w:val="22"/>
          <w:szCs w:val="22"/>
        </w:rPr>
        <w:t xml:space="preserve">Fail Activity — explicitly fails the pipeline run after the notification is sent, ensuring the pipeline run status correctly reflects failure in ADF monitoring.</w:t>
      </w:r>
    </w:p>
    <w:p>
      <w:pPr>
        <w:spacing w:after="160" w:line="276"/>
      </w:pPr>
      <w:r>
        <w:rPr>
          <w:i/>
          <w:iCs/>
          <w:color w:val="595959"/>
          <w:sz w:val="20"/>
          <w:szCs w:val="20"/>
        </w:rPr>
        <w:t xml:space="preserve">This pattern is repeated identically after each Lookup and each Databricks Job activity, so any failure at any stage is captured and alerted consistently.</w:t>
      </w:r>
    </w:p>
    <w:p>
      <w:r>
        <w:br w:type="page"/>
      </w:r>
    </w:p>
    <w:p>
      <w:pPr>
        <w:pStyle w:val="Heading1"/>
        <w:spacing w:after="160" w:before="360"/>
      </w:pPr>
      <w:r>
        <w:rPr>
          <w:b/>
          <w:bCs/>
          <w:color w:val="1F3864"/>
          <w:sz w:val="28"/>
          <w:szCs w:val="28"/>
        </w:rPr>
        <w:t xml:space="preserve">6. Databricks Jobs &amp; Notebook Design</w:t>
      </w:r>
    </w:p>
    <w:p>
      <w:pPr>
        <w:spacing w:after="160" w:line="276"/>
      </w:pPr>
      <w:r>
        <w:rPr>
          <w:sz w:val="22"/>
          <w:szCs w:val="22"/>
        </w:rPr>
        <w:t xml:space="preserve">Three Databricks Jobs are invoked by ADF, in sequence. Job names and notebook paths below are placeholders to be finalized during implementation.</w:t>
      </w:r>
    </w:p>
    <w:p>
      <w:pPr>
        <w:pStyle w:val="Heading2"/>
        <w:spacing w:after="120" w:before="280"/>
      </w:pPr>
      <w:r>
        <w:rPr>
          <w:b/>
          <w:bCs/>
          <w:color w:val="2E75B6"/>
          <w:sz w:val="24"/>
          <w:szCs w:val="24"/>
        </w:rPr>
        <w:t xml:space="preserve">6.1 Job 1 — SharePoint to Data Lake Copy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700"/>
        <w:gridCol w:w="6300"/>
      </w:tblGrid>
      <w:tr>
        <w:trPr>
          <w:tblHeader/>
        </w:trPr>
        <w:tc>
          <w:tcPr>
            <w:tcW w:type="pct" w:w="30%"/>
            <w:shd w:fill="1F3864" w:val="clear"/>
            <w:tcMar>
              <w:top w:type="dxa" w:w="80"/>
              <w:left w:type="dxa" w:w="100"/>
              <w:bottom w:type="dxa" w:w="80"/>
              <w:right w:type="dxa" w:w="100"/>
            </w:tcMar>
          </w:tcPr>
          <w:p>
            <w:r>
              <w:rPr>
                <w:b/>
                <w:bCs/>
                <w:color w:val="FFFFFF"/>
                <w:sz w:val="20"/>
                <w:szCs w:val="20"/>
              </w:rPr>
              <w:t xml:space="preserve">Attribute</w:t>
            </w:r>
          </w:p>
        </w:tc>
        <w:tc>
          <w:tcPr>
            <w:tcW w:type="pct" w:w="70%"/>
            <w:shd w:fill="1F3864" w:val="clear"/>
            <w:tcMar>
              <w:top w:type="dxa" w:w="80"/>
              <w:left w:type="dxa" w:w="100"/>
              <w:bottom w:type="dxa" w:w="80"/>
              <w:right w:type="dxa" w:w="100"/>
            </w:tcMar>
          </w:tcPr>
          <w:p>
            <w:r>
              <w:rPr>
                <w:b/>
                <w:bCs/>
                <w:color w:val="FFFFFF"/>
                <w:sz w:val="20"/>
                <w:szCs w:val="20"/>
              </w:rPr>
              <w:t xml:space="preserve">Details</w:t>
            </w:r>
          </w:p>
        </w:tc>
      </w:tr>
      <w:tr>
        <w:tc>
          <w:tcPr>
            <w:tcW w:type="pct" w:w="30%"/>
            <w:tcMar>
              <w:top w:type="dxa" w:w="80"/>
              <w:left w:type="dxa" w:w="100"/>
              <w:bottom w:type="dxa" w:w="80"/>
              <w:right w:type="dxa" w:w="100"/>
            </w:tcMar>
          </w:tcPr>
          <w:p>
            <w:pPr>
              <w:spacing w:after="0"/>
            </w:pPr>
            <w:r>
              <w:rPr>
                <w:sz w:val="20"/>
                <w:szCs w:val="20"/>
              </w:rPr>
              <w:t xml:space="preserve">Databricks Job Name</w:t>
            </w:r>
          </w:p>
        </w:tc>
        <w:tc>
          <w:tcPr>
            <w:tcW w:type="pct" w:w="70%"/>
            <w:tcMar>
              <w:top w:type="dxa" w:w="80"/>
              <w:left w:type="dxa" w:w="100"/>
              <w:bottom w:type="dxa" w:w="80"/>
              <w:right w:type="dxa" w:w="100"/>
            </w:tcMar>
          </w:tcPr>
          <w:p>
            <w:pPr>
              <w:spacing w:after="0"/>
            </w:pPr>
            <w:r>
              <w:rPr>
                <w:sz w:val="20"/>
                <w:szCs w:val="20"/>
              </w:rPr>
              <w:t xml:space="preserve"/>
            </w:r>
            <w:r>
              <w:rPr>
                <w:i/>
                <w:iCs/>
                <w:color w:val="C00000"/>
                <w:sz w:val="20"/>
                <w:szCs w:val="20"/>
              </w:rPr>
              <w:t xml:space="preserve">[job_copy_sharepoint_to_datalake]</w:t>
            </w:r>
          </w:p>
        </w:tc>
      </w:tr>
      <w:tr>
        <w:tc>
          <w:tcPr>
            <w:tcW w:type="pct" w:w="30%"/>
            <w:shd w:fill="F2F2F2" w:val="clear"/>
            <w:tcMar>
              <w:top w:type="dxa" w:w="80"/>
              <w:left w:type="dxa" w:w="100"/>
              <w:bottom w:type="dxa" w:w="80"/>
              <w:right w:type="dxa" w:w="100"/>
            </w:tcMar>
          </w:tcPr>
          <w:p>
            <w:pPr>
              <w:spacing w:after="0"/>
            </w:pPr>
            <w:r>
              <w:rPr>
                <w:sz w:val="20"/>
                <w:szCs w:val="20"/>
              </w:rPr>
              <w:t xml:space="preserve">Notebook(s)</w:t>
            </w:r>
          </w:p>
        </w:tc>
        <w:tc>
          <w:tcPr>
            <w:tcW w:type="pct" w:w="70%"/>
            <w:shd w:fill="F2F2F2" w:val="clear"/>
            <w:tcMar>
              <w:top w:type="dxa" w:w="80"/>
              <w:left w:type="dxa" w:w="100"/>
              <w:bottom w:type="dxa" w:w="80"/>
              <w:right w:type="dxa" w:w="100"/>
            </w:tcMar>
          </w:tcPr>
          <w:p>
            <w:pPr>
              <w:spacing w:after="0"/>
            </w:pPr>
            <w:r>
              <w:rPr>
                <w:sz w:val="20"/>
                <w:szCs w:val="20"/>
              </w:rPr>
              <w:t xml:space="preserve"/>
            </w:r>
            <w:r>
              <w:rPr>
                <w:i/>
                <w:iCs/>
                <w:color w:val="C00000"/>
                <w:sz w:val="20"/>
                <w:szCs w:val="20"/>
              </w:rPr>
              <w:t xml:space="preserve">[nb_copy_sharepoint_sources]</w:t>
            </w:r>
          </w:p>
        </w:tc>
      </w:tr>
      <w:tr>
        <w:tc>
          <w:tcPr>
            <w:tcW w:type="pct" w:w="30%"/>
            <w:tcMar>
              <w:top w:type="dxa" w:w="80"/>
              <w:left w:type="dxa" w:w="100"/>
              <w:bottom w:type="dxa" w:w="80"/>
              <w:right w:type="dxa" w:w="100"/>
            </w:tcMar>
          </w:tcPr>
          <w:p>
            <w:pPr>
              <w:spacing w:after="0"/>
            </w:pPr>
            <w:r>
              <w:rPr>
                <w:sz w:val="20"/>
                <w:szCs w:val="20"/>
              </w:rPr>
              <w:t xml:space="preserve">Notebook Count</w:t>
            </w:r>
          </w:p>
        </w:tc>
        <w:tc>
          <w:tcPr>
            <w:tcW w:type="pct" w:w="70%"/>
            <w:tcMar>
              <w:top w:type="dxa" w:w="80"/>
              <w:left w:type="dxa" w:w="100"/>
              <w:bottom w:type="dxa" w:w="80"/>
              <w:right w:type="dxa" w:w="100"/>
            </w:tcMar>
          </w:tcPr>
          <w:p>
            <w:pPr>
              <w:spacing w:after="0"/>
            </w:pPr>
            <w:r>
              <w:rPr>
                <w:sz w:val="20"/>
                <w:szCs w:val="20"/>
              </w:rPr>
              <w:t xml:space="preserve">1 notebook, processes all 6 sources</w:t>
            </w:r>
          </w:p>
        </w:tc>
      </w:tr>
      <w:tr>
        <w:tc>
          <w:tcPr>
            <w:tcW w:type="pct" w:w="30%"/>
            <w:shd w:fill="F2F2F2" w:val="clear"/>
            <w:tcMar>
              <w:top w:type="dxa" w:w="80"/>
              <w:left w:type="dxa" w:w="100"/>
              <w:bottom w:type="dxa" w:w="80"/>
              <w:right w:type="dxa" w:w="100"/>
            </w:tcMar>
          </w:tcPr>
          <w:p>
            <w:pPr>
              <w:spacing w:after="0"/>
            </w:pPr>
            <w:r>
              <w:rPr>
                <w:sz w:val="20"/>
                <w:szCs w:val="20"/>
              </w:rPr>
              <w:t xml:space="preserve">Function</w:t>
            </w:r>
          </w:p>
        </w:tc>
        <w:tc>
          <w:tcPr>
            <w:tcW w:type="pct" w:w="70%"/>
            <w:shd w:fill="F2F2F2" w:val="clear"/>
            <w:tcMar>
              <w:top w:type="dxa" w:w="80"/>
              <w:left w:type="dxa" w:w="100"/>
              <w:bottom w:type="dxa" w:w="80"/>
              <w:right w:type="dxa" w:w="100"/>
            </w:tcMar>
          </w:tcPr>
          <w:p>
            <w:pPr>
              <w:spacing w:after="0"/>
            </w:pPr>
            <w:r>
              <w:rPr>
                <w:sz w:val="20"/>
                <w:szCs w:val="20"/>
              </w:rPr>
              <w:t xml:space="preserve">Connects to SharePoint, copies each of the 6 source data files to the raw/landing zone in the data lake.</w:t>
            </w:r>
          </w:p>
        </w:tc>
      </w:tr>
      <w:tr>
        <w:tc>
          <w:tcPr>
            <w:tcW w:type="pct" w:w="30%"/>
            <w:tcMar>
              <w:top w:type="dxa" w:w="80"/>
              <w:left w:type="dxa" w:w="100"/>
              <w:bottom w:type="dxa" w:w="80"/>
              <w:right w:type="dxa" w:w="100"/>
            </w:tcMar>
          </w:tcPr>
          <w:p>
            <w:pPr>
              <w:spacing w:after="0"/>
            </w:pPr>
            <w:r>
              <w:rPr>
                <w:sz w:val="20"/>
                <w:szCs w:val="20"/>
              </w:rPr>
              <w:t xml:space="preserve">Validation</w:t>
            </w:r>
          </w:p>
        </w:tc>
        <w:tc>
          <w:tcPr>
            <w:tcW w:type="pct" w:w="70%"/>
            <w:tcMar>
              <w:top w:type="dxa" w:w="80"/>
              <w:left w:type="dxa" w:w="100"/>
              <w:bottom w:type="dxa" w:w="80"/>
              <w:right w:type="dxa" w:w="100"/>
            </w:tcMar>
          </w:tcPr>
          <w:p>
            <w:pPr>
              <w:spacing w:after="0"/>
            </w:pPr>
            <w:r>
              <w:rPr>
                <w:sz w:val="20"/>
                <w:szCs w:val="20"/>
              </w:rPr>
              <w:t xml:space="preserve">File-name validation check performed for each of the 6 files prior to / during copy (e.g., expected naming pattern, presence check).</w:t>
            </w:r>
          </w:p>
        </w:tc>
      </w:tr>
      <w:tr>
        <w:tc>
          <w:tcPr>
            <w:tcW w:type="pct" w:w="30%"/>
            <w:shd w:fill="F2F2F2" w:val="clear"/>
            <w:tcMar>
              <w:top w:type="dxa" w:w="80"/>
              <w:left w:type="dxa" w:w="100"/>
              <w:bottom w:type="dxa" w:w="80"/>
              <w:right w:type="dxa" w:w="100"/>
            </w:tcMar>
          </w:tcPr>
          <w:p>
            <w:pPr>
              <w:spacing w:after="0"/>
            </w:pPr>
            <w:r>
              <w:rPr>
                <w:sz w:val="20"/>
                <w:szCs w:val="20"/>
              </w:rPr>
              <w:t xml:space="preserve">Cluster / Compute</w:t>
            </w:r>
          </w:p>
        </w:tc>
        <w:tc>
          <w:tcPr>
            <w:tcW w:type="pct" w:w="70%"/>
            <w:shd w:fill="F2F2F2" w:val="clear"/>
            <w:tcMar>
              <w:top w:type="dxa" w:w="80"/>
              <w:left w:type="dxa" w:w="100"/>
              <w:bottom w:type="dxa" w:w="80"/>
              <w:right w:type="dxa" w:w="100"/>
            </w:tcMar>
          </w:tcPr>
          <w:p>
            <w:pPr>
              <w:spacing w:after="0"/>
            </w:pPr>
            <w:r>
              <w:rPr>
                <w:sz w:val="20"/>
                <w:szCs w:val="20"/>
              </w:rPr>
              <w:t xml:space="preserve"/>
            </w:r>
            <w:r>
              <w:rPr>
                <w:i/>
                <w:iCs/>
                <w:color w:val="C00000"/>
                <w:sz w:val="20"/>
                <w:szCs w:val="20"/>
              </w:rPr>
              <w:t xml:space="preserve">[Job cluster / compute policy details]</w:t>
            </w:r>
          </w:p>
        </w:tc>
      </w:tr>
      <w:tr>
        <w:tc>
          <w:tcPr>
            <w:tcW w:type="pct" w:w="30%"/>
            <w:tcMar>
              <w:top w:type="dxa" w:w="80"/>
              <w:left w:type="dxa" w:w="100"/>
              <w:bottom w:type="dxa" w:w="80"/>
              <w:right w:type="dxa" w:w="100"/>
            </w:tcMar>
          </w:tcPr>
          <w:p>
            <w:pPr>
              <w:spacing w:after="0"/>
            </w:pPr>
            <w:r>
              <w:rPr>
                <w:sz w:val="20"/>
                <w:szCs w:val="20"/>
              </w:rPr>
              <w:t xml:space="preserve">Parameters Passed from ADF</w:t>
            </w:r>
          </w:p>
        </w:tc>
        <w:tc>
          <w:tcPr>
            <w:tcW w:type="pct" w:w="70%"/>
            <w:tcMar>
              <w:top w:type="dxa" w:w="80"/>
              <w:left w:type="dxa" w:w="100"/>
              <w:bottom w:type="dxa" w:w="80"/>
              <w:right w:type="dxa" w:w="100"/>
            </w:tcMar>
          </w:tcPr>
          <w:p>
            <w:pPr>
              <w:spacing w:after="0"/>
            </w:pPr>
            <w:r>
              <w:rPr>
                <w:sz w:val="20"/>
                <w:szCs w:val="20"/>
              </w:rPr>
              <w:t xml:space="preserve"/>
            </w:r>
            <w:r>
              <w:rPr>
                <w:i/>
                <w:iCs/>
                <w:color w:val="C00000"/>
                <w:sz w:val="20"/>
                <w:szCs w:val="20"/>
              </w:rPr>
              <w:t xml:space="preserve">[job_id (via Lookup), other notebook widgets if any]</w:t>
            </w:r>
          </w:p>
        </w:tc>
      </w:tr>
    </w:tbl>
    <w:p>
      <w:pPr>
        <w:pStyle w:val="Heading2"/>
        <w:spacing w:after="120" w:before="280"/>
      </w:pPr>
      <w:r>
        <w:rPr>
          <w:b/>
          <w:bCs/>
          <w:color w:val="2E75B6"/>
          <w:sz w:val="24"/>
          <w:szCs w:val="24"/>
        </w:rPr>
        <w:t xml:space="preserve">6.2 Job 2 — Bronze Layer Ingestion (Autoloader)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700"/>
        <w:gridCol w:w="6300"/>
      </w:tblGrid>
      <w:tr>
        <w:trPr>
          <w:tblHeader/>
        </w:trPr>
        <w:tc>
          <w:tcPr>
            <w:tcW w:type="pct" w:w="30%"/>
            <w:shd w:fill="1F3864" w:val="clear"/>
            <w:tcMar>
              <w:top w:type="dxa" w:w="80"/>
              <w:left w:type="dxa" w:w="100"/>
              <w:bottom w:type="dxa" w:w="80"/>
              <w:right w:type="dxa" w:w="100"/>
            </w:tcMar>
          </w:tcPr>
          <w:p>
            <w:r>
              <w:rPr>
                <w:b/>
                <w:bCs/>
                <w:color w:val="FFFFFF"/>
                <w:sz w:val="20"/>
                <w:szCs w:val="20"/>
              </w:rPr>
              <w:t xml:space="preserve">Attribute</w:t>
            </w:r>
          </w:p>
        </w:tc>
        <w:tc>
          <w:tcPr>
            <w:tcW w:type="pct" w:w="70%"/>
            <w:shd w:fill="1F3864" w:val="clear"/>
            <w:tcMar>
              <w:top w:type="dxa" w:w="80"/>
              <w:left w:type="dxa" w:w="100"/>
              <w:bottom w:type="dxa" w:w="80"/>
              <w:right w:type="dxa" w:w="100"/>
            </w:tcMar>
          </w:tcPr>
          <w:p>
            <w:r>
              <w:rPr>
                <w:b/>
                <w:bCs/>
                <w:color w:val="FFFFFF"/>
                <w:sz w:val="20"/>
                <w:szCs w:val="20"/>
              </w:rPr>
              <w:t xml:space="preserve">Details</w:t>
            </w:r>
          </w:p>
        </w:tc>
      </w:tr>
      <w:tr>
        <w:tc>
          <w:tcPr>
            <w:tcW w:type="pct" w:w="30%"/>
            <w:tcMar>
              <w:top w:type="dxa" w:w="80"/>
              <w:left w:type="dxa" w:w="100"/>
              <w:bottom w:type="dxa" w:w="80"/>
              <w:right w:type="dxa" w:w="100"/>
            </w:tcMar>
          </w:tcPr>
          <w:p>
            <w:pPr>
              <w:spacing w:after="0"/>
            </w:pPr>
            <w:r>
              <w:rPr>
                <w:sz w:val="20"/>
                <w:szCs w:val="20"/>
              </w:rPr>
              <w:t xml:space="preserve">Databricks Job Name</w:t>
            </w:r>
          </w:p>
        </w:tc>
        <w:tc>
          <w:tcPr>
            <w:tcW w:type="pct" w:w="70%"/>
            <w:tcMar>
              <w:top w:type="dxa" w:w="80"/>
              <w:left w:type="dxa" w:w="100"/>
              <w:bottom w:type="dxa" w:w="80"/>
              <w:right w:type="dxa" w:w="100"/>
            </w:tcMar>
          </w:tcPr>
          <w:p>
            <w:pPr>
              <w:spacing w:after="0"/>
            </w:pPr>
            <w:r>
              <w:rPr>
                <w:sz w:val="20"/>
                <w:szCs w:val="20"/>
              </w:rPr>
              <w:t xml:space="preserve"/>
            </w:r>
            <w:r>
              <w:rPr>
                <w:i/>
                <w:iCs/>
                <w:color w:val="C00000"/>
                <w:sz w:val="20"/>
                <w:szCs w:val="20"/>
              </w:rPr>
              <w:t xml:space="preserve">[job_bronze_autoloader]</w:t>
            </w:r>
          </w:p>
        </w:tc>
      </w:tr>
      <w:tr>
        <w:tc>
          <w:tcPr>
            <w:tcW w:type="pct" w:w="30%"/>
            <w:shd w:fill="F2F2F2" w:val="clear"/>
            <w:tcMar>
              <w:top w:type="dxa" w:w="80"/>
              <w:left w:type="dxa" w:w="100"/>
              <w:bottom w:type="dxa" w:w="80"/>
              <w:right w:type="dxa" w:w="100"/>
            </w:tcMar>
          </w:tcPr>
          <w:p>
            <w:pPr>
              <w:spacing w:after="0"/>
            </w:pPr>
            <w:r>
              <w:rPr>
                <w:sz w:val="20"/>
                <w:szCs w:val="20"/>
              </w:rPr>
              <w:t xml:space="preserve">Notebook(s)</w:t>
            </w:r>
          </w:p>
        </w:tc>
        <w:tc>
          <w:tcPr>
            <w:tcW w:type="pct" w:w="70%"/>
            <w:shd w:fill="F2F2F2" w:val="clear"/>
            <w:tcMar>
              <w:top w:type="dxa" w:w="80"/>
              <w:left w:type="dxa" w:w="100"/>
              <w:bottom w:type="dxa" w:w="80"/>
              <w:right w:type="dxa" w:w="100"/>
            </w:tcMar>
          </w:tcPr>
          <w:p>
            <w:pPr>
              <w:spacing w:after="0"/>
            </w:pPr>
            <w:r>
              <w:rPr>
                <w:sz w:val="20"/>
                <w:szCs w:val="20"/>
              </w:rPr>
              <w:t xml:space="preserve"/>
            </w:r>
            <w:r>
              <w:rPr>
                <w:i/>
                <w:iCs/>
                <w:color w:val="C00000"/>
                <w:sz w:val="20"/>
                <w:szCs w:val="20"/>
              </w:rPr>
              <w:t xml:space="preserve">[nb_autoloader_source1 … nb_autoloader_source6]</w:t>
            </w:r>
          </w:p>
        </w:tc>
      </w:tr>
      <w:tr>
        <w:tc>
          <w:tcPr>
            <w:tcW w:type="pct" w:w="30%"/>
            <w:tcMar>
              <w:top w:type="dxa" w:w="80"/>
              <w:left w:type="dxa" w:w="100"/>
              <w:bottom w:type="dxa" w:w="80"/>
              <w:right w:type="dxa" w:w="100"/>
            </w:tcMar>
          </w:tcPr>
          <w:p>
            <w:pPr>
              <w:spacing w:after="0"/>
            </w:pPr>
            <w:r>
              <w:rPr>
                <w:sz w:val="20"/>
                <w:szCs w:val="20"/>
              </w:rPr>
              <w:t xml:space="preserve">Notebook Count</w:t>
            </w:r>
          </w:p>
        </w:tc>
        <w:tc>
          <w:tcPr>
            <w:tcW w:type="pct" w:w="70%"/>
            <w:tcMar>
              <w:top w:type="dxa" w:w="80"/>
              <w:left w:type="dxa" w:w="100"/>
              <w:bottom w:type="dxa" w:w="80"/>
              <w:right w:type="dxa" w:w="100"/>
            </w:tcMar>
          </w:tcPr>
          <w:p>
            <w:pPr>
              <w:spacing w:after="0"/>
            </w:pPr>
            <w:r>
              <w:rPr>
                <w:sz w:val="20"/>
                <w:szCs w:val="20"/>
              </w:rPr>
              <w:t xml:space="preserve">6 notebooks, executed in parallel (one per source)</w:t>
            </w:r>
          </w:p>
        </w:tc>
      </w:tr>
      <w:tr>
        <w:tc>
          <w:tcPr>
            <w:tcW w:type="pct" w:w="30%"/>
            <w:shd w:fill="F2F2F2" w:val="clear"/>
            <w:tcMar>
              <w:top w:type="dxa" w:w="80"/>
              <w:left w:type="dxa" w:w="100"/>
              <w:bottom w:type="dxa" w:w="80"/>
              <w:right w:type="dxa" w:w="100"/>
            </w:tcMar>
          </w:tcPr>
          <w:p>
            <w:pPr>
              <w:spacing w:after="0"/>
            </w:pPr>
            <w:r>
              <w:rPr>
                <w:sz w:val="20"/>
                <w:szCs w:val="20"/>
              </w:rPr>
              <w:t xml:space="preserve">Function</w:t>
            </w:r>
          </w:p>
        </w:tc>
        <w:tc>
          <w:tcPr>
            <w:tcW w:type="pct" w:w="70%"/>
            <w:shd w:fill="F2F2F2" w:val="clear"/>
            <w:tcMar>
              <w:top w:type="dxa" w:w="80"/>
              <w:left w:type="dxa" w:w="100"/>
              <w:bottom w:type="dxa" w:w="80"/>
              <w:right w:type="dxa" w:w="100"/>
            </w:tcMar>
          </w:tcPr>
          <w:p>
            <w:pPr>
              <w:spacing w:after="0"/>
            </w:pPr>
            <w:r>
              <w:rPr>
                <w:sz w:val="20"/>
                <w:szCs w:val="20"/>
              </w:rPr>
              <w:t xml:space="preserve">Each notebook uses Databricks Autoloader (cloudFiles) to incrementally ingest its corresponding source file(s) from the data lake landing zone into its respective Unity Catalog Bronze Delta table.</w:t>
            </w:r>
          </w:p>
        </w:tc>
      </w:tr>
      <w:tr>
        <w:tc>
          <w:tcPr>
            <w:tcW w:type="pct" w:w="30%"/>
            <w:tcMar>
              <w:top w:type="dxa" w:w="80"/>
              <w:left w:type="dxa" w:w="100"/>
              <w:bottom w:type="dxa" w:w="80"/>
              <w:right w:type="dxa" w:w="100"/>
            </w:tcMar>
          </w:tcPr>
          <w:p>
            <w:pPr>
              <w:spacing w:after="0"/>
            </w:pPr>
            <w:r>
              <w:rPr>
                <w:sz w:val="20"/>
                <w:szCs w:val="20"/>
              </w:rPr>
              <w:t xml:space="preserve">Parallelism</w:t>
            </w:r>
          </w:p>
        </w:tc>
        <w:tc>
          <w:tcPr>
            <w:tcW w:type="pct" w:w="70%"/>
            <w:tcMar>
              <w:top w:type="dxa" w:w="80"/>
              <w:left w:type="dxa" w:w="100"/>
              <w:bottom w:type="dxa" w:w="80"/>
              <w:right w:type="dxa" w:w="100"/>
            </w:tcMar>
          </w:tcPr>
          <w:p>
            <w:pPr>
              <w:spacing w:after="0"/>
            </w:pPr>
            <w:r>
              <w:rPr>
                <w:sz w:val="20"/>
                <w:szCs w:val="20"/>
              </w:rPr>
              <w:t xml:space="preserve">All 6 notebooks run concurrently as parallel tasks within the same Databricks Job.</w:t>
            </w:r>
          </w:p>
        </w:tc>
      </w:tr>
      <w:tr>
        <w:tc>
          <w:tcPr>
            <w:tcW w:type="pct" w:w="30%"/>
            <w:shd w:fill="F2F2F2" w:val="clear"/>
            <w:tcMar>
              <w:top w:type="dxa" w:w="80"/>
              <w:left w:type="dxa" w:w="100"/>
              <w:bottom w:type="dxa" w:w="80"/>
              <w:right w:type="dxa" w:w="100"/>
            </w:tcMar>
          </w:tcPr>
          <w:p>
            <w:pPr>
              <w:spacing w:after="0"/>
            </w:pPr>
            <w:r>
              <w:rPr>
                <w:sz w:val="20"/>
                <w:szCs w:val="20"/>
              </w:rPr>
              <w:t xml:space="preserve">Cluster / Compute</w:t>
            </w:r>
          </w:p>
        </w:tc>
        <w:tc>
          <w:tcPr>
            <w:tcW w:type="pct" w:w="70%"/>
            <w:shd w:fill="F2F2F2" w:val="clear"/>
            <w:tcMar>
              <w:top w:type="dxa" w:w="80"/>
              <w:left w:type="dxa" w:w="100"/>
              <w:bottom w:type="dxa" w:w="80"/>
              <w:right w:type="dxa" w:w="100"/>
            </w:tcMar>
          </w:tcPr>
          <w:p>
            <w:pPr>
              <w:spacing w:after="0"/>
            </w:pPr>
            <w:r>
              <w:rPr>
                <w:sz w:val="20"/>
                <w:szCs w:val="20"/>
              </w:rPr>
              <w:t xml:space="preserve"/>
            </w:r>
            <w:r>
              <w:rPr>
                <w:i/>
                <w:iCs/>
                <w:color w:val="C00000"/>
                <w:sz w:val="20"/>
                <w:szCs w:val="20"/>
              </w:rPr>
              <w:t xml:space="preserve">[Job cluster / compute policy details — shared or per-task]</w:t>
            </w:r>
          </w:p>
        </w:tc>
      </w:tr>
    </w:tbl>
    <w:p>
      <w:pPr>
        <w:spacing w:after="160"/>
      </w:pPr>
    </w:p>
    <w:p>
      <w:pPr>
        <w:spacing w:after="160" w:line="276"/>
      </w:pPr>
      <w:r>
        <w:rPr>
          <w:b/>
          <w:bCs/>
          <w:sz w:val="22"/>
          <w:szCs w:val="22"/>
        </w:rPr>
        <w:t xml:space="preserve">Bronze table mapping (one table per source):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80"/>
        <w:gridCol w:w="2340"/>
        <w:gridCol w:w="2700"/>
        <w:gridCol w:w="2880"/>
      </w:tblGrid>
      <w:tr>
        <w:trPr>
          <w:tblHeader/>
        </w:trPr>
        <w:tc>
          <w:tcPr>
            <w:tcW w:type="pct" w:w="12%"/>
            <w:shd w:fill="1F3864" w:val="clear"/>
            <w:tcMar>
              <w:top w:type="dxa" w:w="80"/>
              <w:left w:type="dxa" w:w="100"/>
              <w:bottom w:type="dxa" w:w="80"/>
              <w:right w:type="dxa" w:w="100"/>
            </w:tcMar>
          </w:tcPr>
          <w:p>
            <w:r>
              <w:rPr>
                <w:b/>
                <w:bCs/>
                <w:color w:val="FFFFFF"/>
                <w:sz w:val="20"/>
                <w:szCs w:val="20"/>
              </w:rPr>
              <w:t xml:space="preserve">Source #</w:t>
            </w:r>
          </w:p>
        </w:tc>
        <w:tc>
          <w:tcPr>
            <w:tcW w:type="pct" w:w="26%"/>
            <w:shd w:fill="1F3864" w:val="clear"/>
            <w:tcMar>
              <w:top w:type="dxa" w:w="80"/>
              <w:left w:type="dxa" w:w="100"/>
              <w:bottom w:type="dxa" w:w="80"/>
              <w:right w:type="dxa" w:w="100"/>
            </w:tcMar>
          </w:tcPr>
          <w:p>
            <w:r>
              <w:rPr>
                <w:b/>
                <w:bCs/>
                <w:color w:val="FFFFFF"/>
                <w:sz w:val="20"/>
                <w:szCs w:val="20"/>
              </w:rPr>
              <w:t xml:space="preserve">Source File</w:t>
            </w:r>
          </w:p>
        </w:tc>
        <w:tc>
          <w:tcPr>
            <w:tcW w:type="pct" w:w="30%"/>
            <w:shd w:fill="1F3864" w:val="clear"/>
            <w:tcMar>
              <w:top w:type="dxa" w:w="80"/>
              <w:left w:type="dxa" w:w="100"/>
              <w:bottom w:type="dxa" w:w="80"/>
              <w:right w:type="dxa" w:w="100"/>
            </w:tcMar>
          </w:tcPr>
          <w:p>
            <w:r>
              <w:rPr>
                <w:b/>
                <w:bCs/>
                <w:color w:val="FFFFFF"/>
                <w:sz w:val="20"/>
                <w:szCs w:val="20"/>
              </w:rPr>
              <w:t xml:space="preserve">Autoloader Notebook</w:t>
            </w:r>
          </w:p>
        </w:tc>
        <w:tc>
          <w:tcPr>
            <w:tcW w:type="pct" w:w="32%"/>
            <w:shd w:fill="1F3864" w:val="clear"/>
            <w:tcMar>
              <w:top w:type="dxa" w:w="80"/>
              <w:left w:type="dxa" w:w="100"/>
              <w:bottom w:type="dxa" w:w="80"/>
              <w:right w:type="dxa" w:w="100"/>
            </w:tcMar>
          </w:tcPr>
          <w:p>
            <w:r>
              <w:rPr>
                <w:b/>
                <w:bCs/>
                <w:color w:val="FFFFFF"/>
                <w:sz w:val="20"/>
                <w:szCs w:val="20"/>
              </w:rPr>
              <w:t xml:space="preserve">Bronze Table (Unity Catalog)</w:t>
            </w:r>
          </w:p>
        </w:tc>
      </w:tr>
      <w:tr>
        <w:tc>
          <w:tcPr>
            <w:tcW w:type="pct" w:w="12%"/>
            <w:tcMar>
              <w:top w:type="dxa" w:w="80"/>
              <w:left w:type="dxa" w:w="100"/>
              <w:bottom w:type="dxa" w:w="80"/>
              <w:right w:type="dxa" w:w="100"/>
            </w:tcMar>
          </w:tcPr>
          <w:p>
            <w:pPr>
              <w:spacing w:after="0"/>
            </w:pPr>
            <w:r>
              <w:rPr>
                <w:sz w:val="20"/>
                <w:szCs w:val="20"/>
              </w:rPr>
              <w:t xml:space="preserve">1</w:t>
            </w:r>
          </w:p>
        </w:tc>
        <w:tc>
          <w:tcPr>
            <w:tcW w:type="pct" w:w="26%"/>
            <w:tcMar>
              <w:top w:type="dxa" w:w="80"/>
              <w:left w:type="dxa" w:w="100"/>
              <w:bottom w:type="dxa" w:w="80"/>
              <w:right w:type="dxa" w:w="100"/>
            </w:tcMar>
          </w:tcPr>
          <w:p>
            <w:pPr>
              <w:spacing w:after="0"/>
            </w:pPr>
            <w:r>
              <w:rPr>
                <w:sz w:val="20"/>
                <w:szCs w:val="20"/>
              </w:rPr>
              <w:t xml:space="preserve"/>
            </w:r>
            <w:r>
              <w:rPr>
                <w:i/>
                <w:iCs/>
                <w:color w:val="C00000"/>
                <w:sz w:val="20"/>
                <w:szCs w:val="20"/>
              </w:rPr>
              <w:t xml:space="preserve">[Source File 1]</w:t>
            </w:r>
          </w:p>
        </w:tc>
        <w:tc>
          <w:tcPr>
            <w:tcW w:type="pct" w:w="30%"/>
            <w:tcMar>
              <w:top w:type="dxa" w:w="80"/>
              <w:left w:type="dxa" w:w="100"/>
              <w:bottom w:type="dxa" w:w="80"/>
              <w:right w:type="dxa" w:w="100"/>
            </w:tcMar>
          </w:tcPr>
          <w:p>
            <w:pPr>
              <w:spacing w:after="0"/>
            </w:pPr>
            <w:r>
              <w:rPr>
                <w:sz w:val="20"/>
                <w:szCs w:val="20"/>
              </w:rPr>
              <w:t xml:space="preserve"/>
            </w:r>
            <w:r>
              <w:rPr>
                <w:i/>
                <w:iCs/>
                <w:color w:val="C00000"/>
                <w:sz w:val="20"/>
                <w:szCs w:val="20"/>
              </w:rPr>
              <w:t xml:space="preserve">[nb_autoloader_source1]</w:t>
            </w:r>
          </w:p>
        </w:tc>
        <w:tc>
          <w:tcPr>
            <w:tcW w:type="pct" w:w="32%"/>
            <w:tcMar>
              <w:top w:type="dxa" w:w="80"/>
              <w:left w:type="dxa" w:w="100"/>
              <w:bottom w:type="dxa" w:w="80"/>
              <w:right w:type="dxa" w:w="100"/>
            </w:tcMar>
          </w:tcPr>
          <w:p>
            <w:pPr>
              <w:spacing w:after="0"/>
            </w:pPr>
            <w:r>
              <w:rPr>
                <w:sz w:val="20"/>
                <w:szCs w:val="20"/>
              </w:rPr>
              <w:t xml:space="preserve"/>
            </w:r>
            <w:r>
              <w:rPr>
                <w:i/>
                <w:iCs/>
                <w:color w:val="C00000"/>
                <w:sz w:val="20"/>
                <w:szCs w:val="20"/>
              </w:rPr>
              <w:t xml:space="preserve">[catalog.bronze.source1_table]</w:t>
            </w:r>
          </w:p>
        </w:tc>
      </w:tr>
      <w:tr>
        <w:tc>
          <w:tcPr>
            <w:tcW w:type="pct" w:w="12%"/>
            <w:shd w:fill="F2F2F2" w:val="clear"/>
            <w:tcMar>
              <w:top w:type="dxa" w:w="80"/>
              <w:left w:type="dxa" w:w="100"/>
              <w:bottom w:type="dxa" w:w="80"/>
              <w:right w:type="dxa" w:w="100"/>
            </w:tcMar>
          </w:tcPr>
          <w:p>
            <w:pPr>
              <w:spacing w:after="0"/>
            </w:pPr>
            <w:r>
              <w:rPr>
                <w:sz w:val="20"/>
                <w:szCs w:val="20"/>
              </w:rPr>
              <w:t xml:space="preserve">2</w:t>
            </w:r>
          </w:p>
        </w:tc>
        <w:tc>
          <w:tcPr>
            <w:tcW w:type="pct" w:w="26%"/>
            <w:shd w:fill="F2F2F2" w:val="clear"/>
            <w:tcMar>
              <w:top w:type="dxa" w:w="80"/>
              <w:left w:type="dxa" w:w="100"/>
              <w:bottom w:type="dxa" w:w="80"/>
              <w:right w:type="dxa" w:w="100"/>
            </w:tcMar>
          </w:tcPr>
          <w:p>
            <w:pPr>
              <w:spacing w:after="0"/>
            </w:pPr>
            <w:r>
              <w:rPr>
                <w:sz w:val="20"/>
                <w:szCs w:val="20"/>
              </w:rPr>
              <w:t xml:space="preserve"/>
            </w:r>
            <w:r>
              <w:rPr>
                <w:i/>
                <w:iCs/>
                <w:color w:val="C00000"/>
                <w:sz w:val="20"/>
                <w:szCs w:val="20"/>
              </w:rPr>
              <w:t xml:space="preserve">[Source File 2]</w:t>
            </w:r>
          </w:p>
        </w:tc>
        <w:tc>
          <w:tcPr>
            <w:tcW w:type="pct" w:w="30%"/>
            <w:shd w:fill="F2F2F2" w:val="clear"/>
            <w:tcMar>
              <w:top w:type="dxa" w:w="80"/>
              <w:left w:type="dxa" w:w="100"/>
              <w:bottom w:type="dxa" w:w="80"/>
              <w:right w:type="dxa" w:w="100"/>
            </w:tcMar>
          </w:tcPr>
          <w:p>
            <w:pPr>
              <w:spacing w:after="0"/>
            </w:pPr>
            <w:r>
              <w:rPr>
                <w:sz w:val="20"/>
                <w:szCs w:val="20"/>
              </w:rPr>
              <w:t xml:space="preserve"/>
            </w:r>
            <w:r>
              <w:rPr>
                <w:i/>
                <w:iCs/>
                <w:color w:val="C00000"/>
                <w:sz w:val="20"/>
                <w:szCs w:val="20"/>
              </w:rPr>
              <w:t xml:space="preserve">[nb_autoloader_source2]</w:t>
            </w:r>
          </w:p>
        </w:tc>
        <w:tc>
          <w:tcPr>
            <w:tcW w:type="pct" w:w="32%"/>
            <w:shd w:fill="F2F2F2" w:val="clear"/>
            <w:tcMar>
              <w:top w:type="dxa" w:w="80"/>
              <w:left w:type="dxa" w:w="100"/>
              <w:bottom w:type="dxa" w:w="80"/>
              <w:right w:type="dxa" w:w="100"/>
            </w:tcMar>
          </w:tcPr>
          <w:p>
            <w:pPr>
              <w:spacing w:after="0"/>
            </w:pPr>
            <w:r>
              <w:rPr>
                <w:sz w:val="20"/>
                <w:szCs w:val="20"/>
              </w:rPr>
              <w:t xml:space="preserve"/>
            </w:r>
            <w:r>
              <w:rPr>
                <w:i/>
                <w:iCs/>
                <w:color w:val="C00000"/>
                <w:sz w:val="20"/>
                <w:szCs w:val="20"/>
              </w:rPr>
              <w:t xml:space="preserve">[catalog.bronze.source2_table]</w:t>
            </w:r>
          </w:p>
        </w:tc>
      </w:tr>
      <w:tr>
        <w:tc>
          <w:tcPr>
            <w:tcW w:type="pct" w:w="12%"/>
            <w:tcMar>
              <w:top w:type="dxa" w:w="80"/>
              <w:left w:type="dxa" w:w="100"/>
              <w:bottom w:type="dxa" w:w="80"/>
              <w:right w:type="dxa" w:w="100"/>
            </w:tcMar>
          </w:tcPr>
          <w:p>
            <w:pPr>
              <w:spacing w:after="0"/>
            </w:pPr>
            <w:r>
              <w:rPr>
                <w:sz w:val="20"/>
                <w:szCs w:val="20"/>
              </w:rPr>
              <w:t xml:space="preserve">3</w:t>
            </w:r>
          </w:p>
        </w:tc>
        <w:tc>
          <w:tcPr>
            <w:tcW w:type="pct" w:w="26%"/>
            <w:tcMar>
              <w:top w:type="dxa" w:w="80"/>
              <w:left w:type="dxa" w:w="100"/>
              <w:bottom w:type="dxa" w:w="80"/>
              <w:right w:type="dxa" w:w="100"/>
            </w:tcMar>
          </w:tcPr>
          <w:p>
            <w:pPr>
              <w:spacing w:after="0"/>
            </w:pPr>
            <w:r>
              <w:rPr>
                <w:sz w:val="20"/>
                <w:szCs w:val="20"/>
              </w:rPr>
              <w:t xml:space="preserve"/>
            </w:r>
            <w:r>
              <w:rPr>
                <w:i/>
                <w:iCs/>
                <w:color w:val="C00000"/>
                <w:sz w:val="20"/>
                <w:szCs w:val="20"/>
              </w:rPr>
              <w:t xml:space="preserve">[Source File 3]</w:t>
            </w:r>
          </w:p>
        </w:tc>
        <w:tc>
          <w:tcPr>
            <w:tcW w:type="pct" w:w="30%"/>
            <w:tcMar>
              <w:top w:type="dxa" w:w="80"/>
              <w:left w:type="dxa" w:w="100"/>
              <w:bottom w:type="dxa" w:w="80"/>
              <w:right w:type="dxa" w:w="100"/>
            </w:tcMar>
          </w:tcPr>
          <w:p>
            <w:pPr>
              <w:spacing w:after="0"/>
            </w:pPr>
            <w:r>
              <w:rPr>
                <w:sz w:val="20"/>
                <w:szCs w:val="20"/>
              </w:rPr>
              <w:t xml:space="preserve"/>
            </w:r>
            <w:r>
              <w:rPr>
                <w:i/>
                <w:iCs/>
                <w:color w:val="C00000"/>
                <w:sz w:val="20"/>
                <w:szCs w:val="20"/>
              </w:rPr>
              <w:t xml:space="preserve">[nb_autoloader_source3]</w:t>
            </w:r>
          </w:p>
        </w:tc>
        <w:tc>
          <w:tcPr>
            <w:tcW w:type="pct" w:w="32%"/>
            <w:tcMar>
              <w:top w:type="dxa" w:w="80"/>
              <w:left w:type="dxa" w:w="100"/>
              <w:bottom w:type="dxa" w:w="80"/>
              <w:right w:type="dxa" w:w="100"/>
            </w:tcMar>
          </w:tcPr>
          <w:p>
            <w:pPr>
              <w:spacing w:after="0"/>
            </w:pPr>
            <w:r>
              <w:rPr>
                <w:sz w:val="20"/>
                <w:szCs w:val="20"/>
              </w:rPr>
              <w:t xml:space="preserve"/>
            </w:r>
            <w:r>
              <w:rPr>
                <w:i/>
                <w:iCs/>
                <w:color w:val="C00000"/>
                <w:sz w:val="20"/>
                <w:szCs w:val="20"/>
              </w:rPr>
              <w:t xml:space="preserve">[catalog.bronze.source3_table]</w:t>
            </w:r>
          </w:p>
        </w:tc>
      </w:tr>
      <w:tr>
        <w:tc>
          <w:tcPr>
            <w:tcW w:type="pct" w:w="12%"/>
            <w:shd w:fill="F2F2F2" w:val="clear"/>
            <w:tcMar>
              <w:top w:type="dxa" w:w="80"/>
              <w:left w:type="dxa" w:w="100"/>
              <w:bottom w:type="dxa" w:w="80"/>
              <w:right w:type="dxa" w:w="100"/>
            </w:tcMar>
          </w:tcPr>
          <w:p>
            <w:pPr>
              <w:spacing w:after="0"/>
            </w:pPr>
            <w:r>
              <w:rPr>
                <w:sz w:val="20"/>
                <w:szCs w:val="20"/>
              </w:rPr>
              <w:t xml:space="preserve">4</w:t>
            </w:r>
          </w:p>
        </w:tc>
        <w:tc>
          <w:tcPr>
            <w:tcW w:type="pct" w:w="26%"/>
            <w:shd w:fill="F2F2F2" w:val="clear"/>
            <w:tcMar>
              <w:top w:type="dxa" w:w="80"/>
              <w:left w:type="dxa" w:w="100"/>
              <w:bottom w:type="dxa" w:w="80"/>
              <w:right w:type="dxa" w:w="100"/>
            </w:tcMar>
          </w:tcPr>
          <w:p>
            <w:pPr>
              <w:spacing w:after="0"/>
            </w:pPr>
            <w:r>
              <w:rPr>
                <w:sz w:val="20"/>
                <w:szCs w:val="20"/>
              </w:rPr>
              <w:t xml:space="preserve"/>
            </w:r>
            <w:r>
              <w:rPr>
                <w:i/>
                <w:iCs/>
                <w:color w:val="C00000"/>
                <w:sz w:val="20"/>
                <w:szCs w:val="20"/>
              </w:rPr>
              <w:t xml:space="preserve">[Source File 4]</w:t>
            </w:r>
          </w:p>
        </w:tc>
        <w:tc>
          <w:tcPr>
            <w:tcW w:type="pct" w:w="30%"/>
            <w:shd w:fill="F2F2F2" w:val="clear"/>
            <w:tcMar>
              <w:top w:type="dxa" w:w="80"/>
              <w:left w:type="dxa" w:w="100"/>
              <w:bottom w:type="dxa" w:w="80"/>
              <w:right w:type="dxa" w:w="100"/>
            </w:tcMar>
          </w:tcPr>
          <w:p>
            <w:pPr>
              <w:spacing w:after="0"/>
            </w:pPr>
            <w:r>
              <w:rPr>
                <w:sz w:val="20"/>
                <w:szCs w:val="20"/>
              </w:rPr>
              <w:t xml:space="preserve"/>
            </w:r>
            <w:r>
              <w:rPr>
                <w:i/>
                <w:iCs/>
                <w:color w:val="C00000"/>
                <w:sz w:val="20"/>
                <w:szCs w:val="20"/>
              </w:rPr>
              <w:t xml:space="preserve">[nb_autoloader_source4]</w:t>
            </w:r>
          </w:p>
        </w:tc>
        <w:tc>
          <w:tcPr>
            <w:tcW w:type="pct" w:w="32%"/>
            <w:shd w:fill="F2F2F2" w:val="clear"/>
            <w:tcMar>
              <w:top w:type="dxa" w:w="80"/>
              <w:left w:type="dxa" w:w="100"/>
              <w:bottom w:type="dxa" w:w="80"/>
              <w:right w:type="dxa" w:w="100"/>
            </w:tcMar>
          </w:tcPr>
          <w:p>
            <w:pPr>
              <w:spacing w:after="0"/>
            </w:pPr>
            <w:r>
              <w:rPr>
                <w:sz w:val="20"/>
                <w:szCs w:val="20"/>
              </w:rPr>
              <w:t xml:space="preserve"/>
            </w:r>
            <w:r>
              <w:rPr>
                <w:i/>
                <w:iCs/>
                <w:color w:val="C00000"/>
                <w:sz w:val="20"/>
                <w:szCs w:val="20"/>
              </w:rPr>
              <w:t xml:space="preserve">[catalog.bronze.source4_table]</w:t>
            </w:r>
          </w:p>
        </w:tc>
      </w:tr>
      <w:tr>
        <w:tc>
          <w:tcPr>
            <w:tcW w:type="pct" w:w="12%"/>
            <w:tcMar>
              <w:top w:type="dxa" w:w="80"/>
              <w:left w:type="dxa" w:w="100"/>
              <w:bottom w:type="dxa" w:w="80"/>
              <w:right w:type="dxa" w:w="100"/>
            </w:tcMar>
          </w:tcPr>
          <w:p>
            <w:pPr>
              <w:spacing w:after="0"/>
            </w:pPr>
            <w:r>
              <w:rPr>
                <w:sz w:val="20"/>
                <w:szCs w:val="20"/>
              </w:rPr>
              <w:t xml:space="preserve">5</w:t>
            </w:r>
          </w:p>
        </w:tc>
        <w:tc>
          <w:tcPr>
            <w:tcW w:type="pct" w:w="26%"/>
            <w:tcMar>
              <w:top w:type="dxa" w:w="80"/>
              <w:left w:type="dxa" w:w="100"/>
              <w:bottom w:type="dxa" w:w="80"/>
              <w:right w:type="dxa" w:w="100"/>
            </w:tcMar>
          </w:tcPr>
          <w:p>
            <w:pPr>
              <w:spacing w:after="0"/>
            </w:pPr>
            <w:r>
              <w:rPr>
                <w:sz w:val="20"/>
                <w:szCs w:val="20"/>
              </w:rPr>
              <w:t xml:space="preserve"/>
            </w:r>
            <w:r>
              <w:rPr>
                <w:i/>
                <w:iCs/>
                <w:color w:val="C00000"/>
                <w:sz w:val="20"/>
                <w:szCs w:val="20"/>
              </w:rPr>
              <w:t xml:space="preserve">[Source File 5]</w:t>
            </w:r>
          </w:p>
        </w:tc>
        <w:tc>
          <w:tcPr>
            <w:tcW w:type="pct" w:w="30%"/>
            <w:tcMar>
              <w:top w:type="dxa" w:w="80"/>
              <w:left w:type="dxa" w:w="100"/>
              <w:bottom w:type="dxa" w:w="80"/>
              <w:right w:type="dxa" w:w="100"/>
            </w:tcMar>
          </w:tcPr>
          <w:p>
            <w:pPr>
              <w:spacing w:after="0"/>
            </w:pPr>
            <w:r>
              <w:rPr>
                <w:sz w:val="20"/>
                <w:szCs w:val="20"/>
              </w:rPr>
              <w:t xml:space="preserve"/>
            </w:r>
            <w:r>
              <w:rPr>
                <w:i/>
                <w:iCs/>
                <w:color w:val="C00000"/>
                <w:sz w:val="20"/>
                <w:szCs w:val="20"/>
              </w:rPr>
              <w:t xml:space="preserve">[nb_autoloader_source5]</w:t>
            </w:r>
          </w:p>
        </w:tc>
        <w:tc>
          <w:tcPr>
            <w:tcW w:type="pct" w:w="32%"/>
            <w:tcMar>
              <w:top w:type="dxa" w:w="80"/>
              <w:left w:type="dxa" w:w="100"/>
              <w:bottom w:type="dxa" w:w="80"/>
              <w:right w:type="dxa" w:w="100"/>
            </w:tcMar>
          </w:tcPr>
          <w:p>
            <w:pPr>
              <w:spacing w:after="0"/>
            </w:pPr>
            <w:r>
              <w:rPr>
                <w:sz w:val="20"/>
                <w:szCs w:val="20"/>
              </w:rPr>
              <w:t xml:space="preserve"/>
            </w:r>
            <w:r>
              <w:rPr>
                <w:i/>
                <w:iCs/>
                <w:color w:val="C00000"/>
                <w:sz w:val="20"/>
                <w:szCs w:val="20"/>
              </w:rPr>
              <w:t xml:space="preserve">[catalog.bronze.source5_table]</w:t>
            </w:r>
          </w:p>
        </w:tc>
      </w:tr>
      <w:tr>
        <w:tc>
          <w:tcPr>
            <w:tcW w:type="pct" w:w="12%"/>
            <w:shd w:fill="F2F2F2" w:val="clear"/>
            <w:tcMar>
              <w:top w:type="dxa" w:w="80"/>
              <w:left w:type="dxa" w:w="100"/>
              <w:bottom w:type="dxa" w:w="80"/>
              <w:right w:type="dxa" w:w="100"/>
            </w:tcMar>
          </w:tcPr>
          <w:p>
            <w:pPr>
              <w:spacing w:after="0"/>
            </w:pPr>
            <w:r>
              <w:rPr>
                <w:sz w:val="20"/>
                <w:szCs w:val="20"/>
              </w:rPr>
              <w:t xml:space="preserve">6</w:t>
            </w:r>
          </w:p>
        </w:tc>
        <w:tc>
          <w:tcPr>
            <w:tcW w:type="pct" w:w="26%"/>
            <w:shd w:fill="F2F2F2" w:val="clear"/>
            <w:tcMar>
              <w:top w:type="dxa" w:w="80"/>
              <w:left w:type="dxa" w:w="100"/>
              <w:bottom w:type="dxa" w:w="80"/>
              <w:right w:type="dxa" w:w="100"/>
            </w:tcMar>
          </w:tcPr>
          <w:p>
            <w:pPr>
              <w:spacing w:after="0"/>
            </w:pPr>
            <w:r>
              <w:rPr>
                <w:sz w:val="20"/>
                <w:szCs w:val="20"/>
              </w:rPr>
              <w:t xml:space="preserve"/>
            </w:r>
            <w:r>
              <w:rPr>
                <w:i/>
                <w:iCs/>
                <w:color w:val="C00000"/>
                <w:sz w:val="20"/>
                <w:szCs w:val="20"/>
              </w:rPr>
              <w:t xml:space="preserve">[Source File 6]</w:t>
            </w:r>
          </w:p>
        </w:tc>
        <w:tc>
          <w:tcPr>
            <w:tcW w:type="pct" w:w="30%"/>
            <w:shd w:fill="F2F2F2" w:val="clear"/>
            <w:tcMar>
              <w:top w:type="dxa" w:w="80"/>
              <w:left w:type="dxa" w:w="100"/>
              <w:bottom w:type="dxa" w:w="80"/>
              <w:right w:type="dxa" w:w="100"/>
            </w:tcMar>
          </w:tcPr>
          <w:p>
            <w:pPr>
              <w:spacing w:after="0"/>
            </w:pPr>
            <w:r>
              <w:rPr>
                <w:sz w:val="20"/>
                <w:szCs w:val="20"/>
              </w:rPr>
              <w:t xml:space="preserve"/>
            </w:r>
            <w:r>
              <w:rPr>
                <w:i/>
                <w:iCs/>
                <w:color w:val="C00000"/>
                <w:sz w:val="20"/>
                <w:szCs w:val="20"/>
              </w:rPr>
              <w:t xml:space="preserve">[nb_autoloader_source6]</w:t>
            </w:r>
          </w:p>
        </w:tc>
        <w:tc>
          <w:tcPr>
            <w:tcW w:type="pct" w:w="32%"/>
            <w:shd w:fill="F2F2F2" w:val="clear"/>
            <w:tcMar>
              <w:top w:type="dxa" w:w="80"/>
              <w:left w:type="dxa" w:w="100"/>
              <w:bottom w:type="dxa" w:w="80"/>
              <w:right w:type="dxa" w:w="100"/>
            </w:tcMar>
          </w:tcPr>
          <w:p>
            <w:pPr>
              <w:spacing w:after="0"/>
            </w:pPr>
            <w:r>
              <w:rPr>
                <w:sz w:val="20"/>
                <w:szCs w:val="20"/>
              </w:rPr>
              <w:t xml:space="preserve"/>
            </w:r>
            <w:r>
              <w:rPr>
                <w:i/>
                <w:iCs/>
                <w:color w:val="C00000"/>
                <w:sz w:val="20"/>
                <w:szCs w:val="20"/>
              </w:rPr>
              <w:t xml:space="preserve">[catalog.bronze.source6_table]</w:t>
            </w:r>
          </w:p>
        </w:tc>
      </w:tr>
    </w:tbl>
    <w:p>
      <w:pPr>
        <w:pStyle w:val="Heading2"/>
        <w:spacing w:after="120" w:before="280"/>
      </w:pPr>
      <w:r>
        <w:rPr>
          <w:b/>
          <w:bCs/>
          <w:color w:val="2E75B6"/>
          <w:sz w:val="24"/>
          <w:szCs w:val="24"/>
        </w:rPr>
        <w:t xml:space="preserve">6.3 Job 3 — Bronze to Fabric Curation Load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700"/>
        <w:gridCol w:w="6300"/>
      </w:tblGrid>
      <w:tr>
        <w:trPr>
          <w:tblHeader/>
        </w:trPr>
        <w:tc>
          <w:tcPr>
            <w:tcW w:type="pct" w:w="30%"/>
            <w:shd w:fill="1F3864" w:val="clear"/>
            <w:tcMar>
              <w:top w:type="dxa" w:w="80"/>
              <w:left w:type="dxa" w:w="100"/>
              <w:bottom w:type="dxa" w:w="80"/>
              <w:right w:type="dxa" w:w="100"/>
            </w:tcMar>
          </w:tcPr>
          <w:p>
            <w:r>
              <w:rPr>
                <w:b/>
                <w:bCs/>
                <w:color w:val="FFFFFF"/>
                <w:sz w:val="20"/>
                <w:szCs w:val="20"/>
              </w:rPr>
              <w:t xml:space="preserve">Attribute</w:t>
            </w:r>
          </w:p>
        </w:tc>
        <w:tc>
          <w:tcPr>
            <w:tcW w:type="pct" w:w="70%"/>
            <w:shd w:fill="1F3864" w:val="clear"/>
            <w:tcMar>
              <w:top w:type="dxa" w:w="80"/>
              <w:left w:type="dxa" w:w="100"/>
              <w:bottom w:type="dxa" w:w="80"/>
              <w:right w:type="dxa" w:w="100"/>
            </w:tcMar>
          </w:tcPr>
          <w:p>
            <w:r>
              <w:rPr>
                <w:b/>
                <w:bCs/>
                <w:color w:val="FFFFFF"/>
                <w:sz w:val="20"/>
                <w:szCs w:val="20"/>
              </w:rPr>
              <w:t xml:space="preserve">Details</w:t>
            </w:r>
          </w:p>
        </w:tc>
      </w:tr>
      <w:tr>
        <w:tc>
          <w:tcPr>
            <w:tcW w:type="pct" w:w="30%"/>
            <w:tcMar>
              <w:top w:type="dxa" w:w="80"/>
              <w:left w:type="dxa" w:w="100"/>
              <w:bottom w:type="dxa" w:w="80"/>
              <w:right w:type="dxa" w:w="100"/>
            </w:tcMar>
          </w:tcPr>
          <w:p>
            <w:pPr>
              <w:spacing w:after="0"/>
            </w:pPr>
            <w:r>
              <w:rPr>
                <w:sz w:val="20"/>
                <w:szCs w:val="20"/>
              </w:rPr>
              <w:t xml:space="preserve">Databricks Job Name</w:t>
            </w:r>
          </w:p>
        </w:tc>
        <w:tc>
          <w:tcPr>
            <w:tcW w:type="pct" w:w="70%"/>
            <w:tcMar>
              <w:top w:type="dxa" w:w="80"/>
              <w:left w:type="dxa" w:w="100"/>
              <w:bottom w:type="dxa" w:w="80"/>
              <w:right w:type="dxa" w:w="100"/>
            </w:tcMar>
          </w:tcPr>
          <w:p>
            <w:pPr>
              <w:spacing w:after="0"/>
            </w:pPr>
            <w:r>
              <w:rPr>
                <w:sz w:val="20"/>
                <w:szCs w:val="20"/>
              </w:rPr>
              <w:t xml:space="preserve"/>
            </w:r>
            <w:r>
              <w:rPr>
                <w:i/>
                <w:iCs/>
                <w:color w:val="C00000"/>
                <w:sz w:val="20"/>
                <w:szCs w:val="20"/>
              </w:rPr>
              <w:t xml:space="preserve">[job_bronze_to_fabric_load]</w:t>
            </w:r>
          </w:p>
        </w:tc>
      </w:tr>
      <w:tr>
        <w:tc>
          <w:tcPr>
            <w:tcW w:type="pct" w:w="30%"/>
            <w:shd w:fill="F2F2F2" w:val="clear"/>
            <w:tcMar>
              <w:top w:type="dxa" w:w="80"/>
              <w:left w:type="dxa" w:w="100"/>
              <w:bottom w:type="dxa" w:w="80"/>
              <w:right w:type="dxa" w:w="100"/>
            </w:tcMar>
          </w:tcPr>
          <w:p>
            <w:pPr>
              <w:spacing w:after="0"/>
            </w:pPr>
            <w:r>
              <w:rPr>
                <w:sz w:val="20"/>
                <w:szCs w:val="20"/>
              </w:rPr>
              <w:t xml:space="preserve">Notebook(s)</w:t>
            </w:r>
          </w:p>
        </w:tc>
        <w:tc>
          <w:tcPr>
            <w:tcW w:type="pct" w:w="70%"/>
            <w:shd w:fill="F2F2F2" w:val="clear"/>
            <w:tcMar>
              <w:top w:type="dxa" w:w="80"/>
              <w:left w:type="dxa" w:w="100"/>
              <w:bottom w:type="dxa" w:w="80"/>
              <w:right w:type="dxa" w:w="100"/>
            </w:tcMar>
          </w:tcPr>
          <w:p>
            <w:pPr>
              <w:spacing w:after="0"/>
            </w:pPr>
            <w:r>
              <w:rPr>
                <w:sz w:val="20"/>
                <w:szCs w:val="20"/>
              </w:rPr>
              <w:t xml:space="preserve"/>
            </w:r>
            <w:r>
              <w:rPr>
                <w:i/>
                <w:iCs/>
                <w:color w:val="C00000"/>
                <w:sz w:val="20"/>
                <w:szCs w:val="20"/>
              </w:rPr>
              <w:t xml:space="preserve">[nb_load_fabric_delta]</w:t>
            </w:r>
          </w:p>
        </w:tc>
      </w:tr>
      <w:tr>
        <w:tc>
          <w:tcPr>
            <w:tcW w:type="pct" w:w="30%"/>
            <w:tcMar>
              <w:top w:type="dxa" w:w="80"/>
              <w:left w:type="dxa" w:w="100"/>
              <w:bottom w:type="dxa" w:w="80"/>
              <w:right w:type="dxa" w:w="100"/>
            </w:tcMar>
          </w:tcPr>
          <w:p>
            <w:pPr>
              <w:spacing w:after="0"/>
            </w:pPr>
            <w:r>
              <w:rPr>
                <w:sz w:val="20"/>
                <w:szCs w:val="20"/>
              </w:rPr>
              <w:t xml:space="preserve">Notebook Count</w:t>
            </w:r>
          </w:p>
        </w:tc>
        <w:tc>
          <w:tcPr>
            <w:tcW w:type="pct" w:w="70%"/>
            <w:tcMar>
              <w:top w:type="dxa" w:w="80"/>
              <w:left w:type="dxa" w:w="100"/>
              <w:bottom w:type="dxa" w:w="80"/>
              <w:right w:type="dxa" w:w="100"/>
            </w:tcMar>
          </w:tcPr>
          <w:p>
            <w:pPr>
              <w:spacing w:after="0"/>
            </w:pPr>
            <w:r>
              <w:rPr>
                <w:sz w:val="20"/>
                <w:szCs w:val="20"/>
              </w:rPr>
              <w:t xml:space="preserve">1 notebook, handles all target Fabric tables</w:t>
            </w:r>
          </w:p>
        </w:tc>
      </w:tr>
      <w:tr>
        <w:tc>
          <w:tcPr>
            <w:tcW w:type="pct" w:w="30%"/>
            <w:shd w:fill="F2F2F2" w:val="clear"/>
            <w:tcMar>
              <w:top w:type="dxa" w:w="80"/>
              <w:left w:type="dxa" w:w="100"/>
              <w:bottom w:type="dxa" w:w="80"/>
              <w:right w:type="dxa" w:w="100"/>
            </w:tcMar>
          </w:tcPr>
          <w:p>
            <w:pPr>
              <w:spacing w:after="0"/>
            </w:pPr>
            <w:r>
              <w:rPr>
                <w:sz w:val="20"/>
                <w:szCs w:val="20"/>
              </w:rPr>
              <w:t xml:space="preserve">Function</w:t>
            </w:r>
          </w:p>
        </w:tc>
        <w:tc>
          <w:tcPr>
            <w:tcW w:type="pct" w:w="70%"/>
            <w:shd w:fill="F2F2F2" w:val="clear"/>
            <w:tcMar>
              <w:top w:type="dxa" w:w="80"/>
              <w:left w:type="dxa" w:w="100"/>
              <w:bottom w:type="dxa" w:w="80"/>
              <w:right w:type="dxa" w:w="100"/>
            </w:tcMar>
          </w:tcPr>
          <w:p>
            <w:pPr>
              <w:spacing w:after="0"/>
            </w:pPr>
            <w:r>
              <w:rPr>
                <w:sz w:val="20"/>
                <w:szCs w:val="20"/>
              </w:rPr>
              <w:t xml:space="preserve">Reads data from the relevant Bronze table(s) and, based on the source file name, performs a load or overwrite of the corresponding Microsoft Fabric Delta table.</w:t>
            </w:r>
          </w:p>
        </w:tc>
      </w:tr>
      <w:tr>
        <w:tc>
          <w:tcPr>
            <w:tcW w:type="pct" w:w="30%"/>
            <w:tcMar>
              <w:top w:type="dxa" w:w="80"/>
              <w:left w:type="dxa" w:w="100"/>
              <w:bottom w:type="dxa" w:w="80"/>
              <w:right w:type="dxa" w:w="100"/>
            </w:tcMar>
          </w:tcPr>
          <w:p>
            <w:pPr>
              <w:spacing w:after="0"/>
            </w:pPr>
            <w:r>
              <w:rPr>
                <w:sz w:val="20"/>
                <w:szCs w:val="20"/>
              </w:rPr>
              <w:t xml:space="preserve">Load Pattern</w:t>
            </w:r>
          </w:p>
        </w:tc>
        <w:tc>
          <w:tcPr>
            <w:tcW w:type="pct" w:w="70%"/>
            <w:tcMar>
              <w:top w:type="dxa" w:w="80"/>
              <w:left w:type="dxa" w:w="100"/>
              <w:bottom w:type="dxa" w:w="80"/>
              <w:right w:type="dxa" w:w="100"/>
            </w:tcMar>
          </w:tcPr>
          <w:p>
            <w:pPr>
              <w:spacing w:after="0"/>
            </w:pPr>
            <w:r>
              <w:rPr>
                <w:sz w:val="20"/>
                <w:szCs w:val="20"/>
              </w:rPr>
              <w:t xml:space="preserve"/>
            </w:r>
            <w:r>
              <w:rPr>
                <w:i/>
                <w:iCs/>
                <w:color w:val="C00000"/>
                <w:sz w:val="20"/>
                <w:szCs w:val="20"/>
              </w:rPr>
              <w:t xml:space="preserve">[Full overwrite per run — confirm incremental vs. full-overwrite logic and merge/upsert keys if any]</w:t>
            </w:r>
          </w:p>
        </w:tc>
      </w:tr>
      <w:tr>
        <w:tc>
          <w:tcPr>
            <w:tcW w:type="pct" w:w="30%"/>
            <w:shd w:fill="F2F2F2" w:val="clear"/>
            <w:tcMar>
              <w:top w:type="dxa" w:w="80"/>
              <w:left w:type="dxa" w:w="100"/>
              <w:bottom w:type="dxa" w:w="80"/>
              <w:right w:type="dxa" w:w="100"/>
            </w:tcMar>
          </w:tcPr>
          <w:p>
            <w:pPr>
              <w:spacing w:after="0"/>
            </w:pPr>
            <w:r>
              <w:rPr>
                <w:sz w:val="20"/>
                <w:szCs w:val="20"/>
              </w:rPr>
              <w:t xml:space="preserve">Target</w:t>
            </w:r>
          </w:p>
        </w:tc>
        <w:tc>
          <w:tcPr>
            <w:tcW w:type="pct" w:w="70%"/>
            <w:shd w:fill="F2F2F2" w:val="clear"/>
            <w:tcMar>
              <w:top w:type="dxa" w:w="80"/>
              <w:left w:type="dxa" w:w="100"/>
              <w:bottom w:type="dxa" w:w="80"/>
              <w:right w:type="dxa" w:w="100"/>
            </w:tcMar>
          </w:tcPr>
          <w:p>
            <w:pPr>
              <w:spacing w:after="0"/>
            </w:pPr>
            <w:r>
              <w:rPr>
                <w:sz w:val="20"/>
                <w:szCs w:val="20"/>
              </w:rPr>
              <w:t xml:space="preserve"/>
            </w:r>
            <w:r>
              <w:rPr>
                <w:i/>
                <w:iCs/>
                <w:color w:val="C00000"/>
                <w:sz w:val="20"/>
                <w:szCs w:val="20"/>
              </w:rPr>
              <w:t xml:space="preserve">[Fabric Lakehouse/Warehouse name and Delta table naming convention]</w:t>
            </w:r>
          </w:p>
        </w:tc>
      </w:tr>
      <w:tr>
        <w:tc>
          <w:tcPr>
            <w:tcW w:type="pct" w:w="30%"/>
            <w:tcMar>
              <w:top w:type="dxa" w:w="80"/>
              <w:left w:type="dxa" w:w="100"/>
              <w:bottom w:type="dxa" w:w="80"/>
              <w:right w:type="dxa" w:w="100"/>
            </w:tcMar>
          </w:tcPr>
          <w:p>
            <w:pPr>
              <w:spacing w:after="0"/>
            </w:pPr>
            <w:r>
              <w:rPr>
                <w:sz w:val="20"/>
                <w:szCs w:val="20"/>
              </w:rPr>
              <w:t xml:space="preserve">Consumption</w:t>
            </w:r>
          </w:p>
        </w:tc>
        <w:tc>
          <w:tcPr>
            <w:tcW w:type="pct" w:w="70%"/>
            <w:tcMar>
              <w:top w:type="dxa" w:w="80"/>
              <w:left w:type="dxa" w:w="100"/>
              <w:bottom w:type="dxa" w:w="80"/>
              <w:right w:type="dxa" w:w="100"/>
            </w:tcMar>
          </w:tcPr>
          <w:p>
            <w:pPr>
              <w:spacing w:after="0"/>
            </w:pPr>
            <w:r>
              <w:rPr>
                <w:sz w:val="20"/>
                <w:szCs w:val="20"/>
              </w:rPr>
              <w:t xml:space="preserve">Fabric Delta tables are consumed directly by Power BI reports.</w:t>
            </w:r>
          </w:p>
        </w:tc>
      </w:tr>
    </w:tbl>
    <w:p>
      <w:r>
        <w:br w:type="page"/>
      </w:r>
    </w:p>
    <w:p>
      <w:pPr>
        <w:pStyle w:val="Heading1"/>
        <w:spacing w:after="160" w:before="360"/>
      </w:pPr>
      <w:r>
        <w:rPr>
          <w:b/>
          <w:bCs/>
          <w:color w:val="1F3864"/>
          <w:sz w:val="28"/>
          <w:szCs w:val="28"/>
        </w:rPr>
        <w:t xml:space="preserve">7. Parameters &amp; Configuration</w:t>
      </w:r>
    </w:p>
    <w:p>
      <w:pPr>
        <w:pStyle w:val="Heading2"/>
        <w:spacing w:after="120" w:before="280"/>
      </w:pPr>
      <w:r>
        <w:rPr>
          <w:b/>
          <w:bCs/>
          <w:color w:val="2E75B6"/>
          <w:sz w:val="24"/>
          <w:szCs w:val="24"/>
        </w:rPr>
        <w:t xml:space="preserve">7.1 Pipeline Parameters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340"/>
        <w:gridCol w:w="3960"/>
        <w:gridCol w:w="2700"/>
      </w:tblGrid>
      <w:tr>
        <w:trPr>
          <w:tblHeader/>
        </w:trPr>
        <w:tc>
          <w:tcPr>
            <w:tcW w:type="pct" w:w="26%"/>
            <w:shd w:fill="1F3864" w:val="clear"/>
            <w:tcMar>
              <w:top w:type="dxa" w:w="80"/>
              <w:left w:type="dxa" w:w="100"/>
              <w:bottom w:type="dxa" w:w="80"/>
              <w:right w:type="dxa" w:w="100"/>
            </w:tcMar>
          </w:tcPr>
          <w:p>
            <w:r>
              <w:rPr>
                <w:b/>
                <w:bCs/>
                <w:color w:val="FFFFFF"/>
                <w:sz w:val="20"/>
                <w:szCs w:val="20"/>
              </w:rPr>
              <w:t xml:space="preserve">Parameter Name</w:t>
            </w:r>
          </w:p>
        </w:tc>
        <w:tc>
          <w:tcPr>
            <w:tcW w:type="pct" w:w="44%"/>
            <w:shd w:fill="1F3864" w:val="clear"/>
            <w:tcMar>
              <w:top w:type="dxa" w:w="80"/>
              <w:left w:type="dxa" w:w="100"/>
              <w:bottom w:type="dxa" w:w="80"/>
              <w:right w:type="dxa" w:w="100"/>
            </w:tcMar>
          </w:tcPr>
          <w:p>
            <w:r>
              <w:rPr>
                <w:b/>
                <w:bCs/>
                <w:color w:val="FFFFFF"/>
                <w:sz w:val="20"/>
                <w:szCs w:val="20"/>
              </w:rPr>
              <w:t xml:space="preserve">Description</w:t>
            </w:r>
          </w:p>
        </w:tc>
        <w:tc>
          <w:tcPr>
            <w:tcW w:type="pct" w:w="30%"/>
            <w:shd w:fill="1F3864" w:val="clear"/>
            <w:tcMar>
              <w:top w:type="dxa" w:w="80"/>
              <w:left w:type="dxa" w:w="100"/>
              <w:bottom w:type="dxa" w:w="80"/>
              <w:right w:type="dxa" w:w="100"/>
            </w:tcMar>
          </w:tcPr>
          <w:p>
            <w:r>
              <w:rPr>
                <w:b/>
                <w:bCs/>
                <w:color w:val="FFFFFF"/>
                <w:sz w:val="20"/>
                <w:szCs w:val="20"/>
              </w:rPr>
              <w:t xml:space="preserve">Example / Default Value</w:t>
            </w:r>
          </w:p>
        </w:tc>
      </w:tr>
      <w:tr>
        <w:tc>
          <w:tcPr>
            <w:tcW w:type="pct" w:w="26%"/>
            <w:tcMar>
              <w:top w:type="dxa" w:w="80"/>
              <w:left w:type="dxa" w:w="100"/>
              <w:bottom w:type="dxa" w:w="80"/>
              <w:right w:type="dxa" w:w="100"/>
            </w:tcMar>
          </w:tcPr>
          <w:p>
            <w:pPr>
              <w:spacing w:after="0"/>
            </w:pPr>
            <w:r>
              <w:rPr>
                <w:sz w:val="20"/>
                <w:szCs w:val="20"/>
              </w:rPr>
              <w:t xml:space="preserve">FailureEmailRecipient</w:t>
            </w:r>
          </w:p>
        </w:tc>
        <w:tc>
          <w:tcPr>
            <w:tcW w:type="pct" w:w="44%"/>
            <w:tcMar>
              <w:top w:type="dxa" w:w="80"/>
              <w:left w:type="dxa" w:w="100"/>
              <w:bottom w:type="dxa" w:w="80"/>
              <w:right w:type="dxa" w:w="100"/>
            </w:tcMar>
          </w:tcPr>
          <w:p>
            <w:pPr>
              <w:spacing w:after="0"/>
            </w:pPr>
            <w:r>
              <w:rPr>
                <w:sz w:val="20"/>
                <w:szCs w:val="20"/>
              </w:rPr>
              <w:t xml:space="preserve">Email address(es) notified by the Web Activity when a Lookup or Databricks Job activity fails.</w:t>
            </w:r>
          </w:p>
        </w:tc>
        <w:tc>
          <w:tcPr>
            <w:tcW w:type="pct" w:w="30%"/>
            <w:tcMar>
              <w:top w:type="dxa" w:w="80"/>
              <w:left w:type="dxa" w:w="100"/>
              <w:bottom w:type="dxa" w:w="80"/>
              <w:right w:type="dxa" w:w="100"/>
            </w:tcMar>
          </w:tcPr>
          <w:p>
            <w:pPr>
              <w:spacing w:after="0"/>
            </w:pPr>
            <w:r>
              <w:rPr>
                <w:sz w:val="20"/>
                <w:szCs w:val="20"/>
              </w:rPr>
              <w:t xml:space="preserve"/>
            </w:r>
            <w:r>
              <w:rPr>
                <w:i/>
                <w:iCs/>
                <w:color w:val="C00000"/>
                <w:sz w:val="20"/>
                <w:szCs w:val="20"/>
              </w:rPr>
              <w:t xml:space="preserve">[distribution-list@company.com]</w:t>
            </w:r>
          </w:p>
        </w:tc>
      </w:tr>
      <w:tr>
        <w:tc>
          <w:tcPr>
            <w:tcW w:type="pct" w:w="26%"/>
            <w:shd w:fill="F2F2F2" w:val="clear"/>
            <w:tcMar>
              <w:top w:type="dxa" w:w="80"/>
              <w:left w:type="dxa" w:w="100"/>
              <w:bottom w:type="dxa" w:w="80"/>
              <w:right w:type="dxa" w:w="100"/>
            </w:tcMar>
          </w:tcPr>
          <w:p>
            <w:pPr>
              <w:spacing w:after="0"/>
            </w:pPr>
            <w:r>
              <w:rPr>
                <w:sz w:val="20"/>
                <w:szCs w:val="20"/>
              </w:rPr>
              <w:t xml:space="preserve"/>
            </w:r>
            <w:r>
              <w:rPr>
                <w:i/>
                <w:iCs/>
                <w:color w:val="C00000"/>
                <w:sz w:val="20"/>
                <w:szCs w:val="20"/>
              </w:rPr>
              <w:t xml:space="preserve">[Additional parameter placeholders]</w:t>
            </w:r>
          </w:p>
        </w:tc>
        <w:tc>
          <w:tcPr>
            <w:tcW w:type="pct" w:w="44%"/>
            <w:shd w:fill="F2F2F2" w:val="clear"/>
            <w:tcMar>
              <w:top w:type="dxa" w:w="80"/>
              <w:left w:type="dxa" w:w="100"/>
              <w:bottom w:type="dxa" w:w="80"/>
              <w:right w:type="dxa" w:w="100"/>
            </w:tcMar>
          </w:tcPr>
          <w:p>
            <w:pPr>
              <w:spacing w:after="0"/>
            </w:pPr>
            <w:r>
              <w:rPr>
                <w:sz w:val="20"/>
                <w:szCs w:val="20"/>
              </w:rPr>
              <w:t xml:space="preserve"/>
            </w:r>
            <w:r>
              <w:rPr>
                <w:i/>
                <w:iCs/>
                <w:color w:val="C00000"/>
                <w:sz w:val="20"/>
                <w:szCs w:val="20"/>
              </w:rPr>
              <w:t xml:space="preserve">[Description]</w:t>
            </w:r>
          </w:p>
        </w:tc>
        <w:tc>
          <w:tcPr>
            <w:tcW w:type="pct" w:w="30%"/>
            <w:shd w:fill="F2F2F2" w:val="clear"/>
            <w:tcMar>
              <w:top w:type="dxa" w:w="80"/>
              <w:left w:type="dxa" w:w="100"/>
              <w:bottom w:type="dxa" w:w="80"/>
              <w:right w:type="dxa" w:w="100"/>
            </w:tcMar>
          </w:tcPr>
          <w:p>
            <w:pPr>
              <w:spacing w:after="0"/>
            </w:pPr>
            <w:r>
              <w:rPr>
                <w:sz w:val="20"/>
                <w:szCs w:val="20"/>
              </w:rPr>
              <w:t xml:space="preserve"/>
            </w:r>
            <w:r>
              <w:rPr>
                <w:i/>
                <w:iCs/>
                <w:color w:val="C00000"/>
                <w:sz w:val="20"/>
                <w:szCs w:val="20"/>
              </w:rPr>
              <w:t xml:space="preserve">[Value]</w:t>
            </w:r>
          </w:p>
        </w:tc>
      </w:tr>
    </w:tbl>
    <w:p>
      <w:pPr>
        <w:spacing w:after="160"/>
      </w:pPr>
    </w:p>
    <w:p>
      <w:pPr>
        <w:pStyle w:val="Heading2"/>
        <w:spacing w:after="120" w:before="280"/>
      </w:pPr>
      <w:r>
        <w:rPr>
          <w:b/>
          <w:bCs/>
          <w:color w:val="2E75B6"/>
          <w:sz w:val="24"/>
          <w:szCs w:val="24"/>
        </w:rPr>
        <w:t xml:space="preserve">7.2 Linked Services / Connections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340"/>
        <w:gridCol w:w="2880"/>
        <w:gridCol w:w="3780"/>
      </w:tblGrid>
      <w:tr>
        <w:trPr>
          <w:tblHeader/>
        </w:trPr>
        <w:tc>
          <w:tcPr>
            <w:tcW w:type="pct" w:w="26%"/>
            <w:shd w:fill="1F3864" w:val="clear"/>
            <w:tcMar>
              <w:top w:type="dxa" w:w="80"/>
              <w:left w:type="dxa" w:w="100"/>
              <w:bottom w:type="dxa" w:w="80"/>
              <w:right w:type="dxa" w:w="100"/>
            </w:tcMar>
          </w:tcPr>
          <w:p>
            <w:r>
              <w:rPr>
                <w:b/>
                <w:bCs/>
                <w:color w:val="FFFFFF"/>
                <w:sz w:val="20"/>
                <w:szCs w:val="20"/>
              </w:rPr>
              <w:t xml:space="preserve">Linked Service</w:t>
            </w:r>
          </w:p>
        </w:tc>
        <w:tc>
          <w:tcPr>
            <w:tcW w:type="pct" w:w="32%"/>
            <w:shd w:fill="1F3864" w:val="clear"/>
            <w:tcMar>
              <w:top w:type="dxa" w:w="80"/>
              <w:left w:type="dxa" w:w="100"/>
              <w:bottom w:type="dxa" w:w="80"/>
              <w:right w:type="dxa" w:w="100"/>
            </w:tcMar>
          </w:tcPr>
          <w:p>
            <w:r>
              <w:rPr>
                <w:b/>
                <w:bCs/>
                <w:color w:val="FFFFFF"/>
                <w:sz w:val="20"/>
                <w:szCs w:val="20"/>
              </w:rPr>
              <w:t xml:space="preserve">Type</w:t>
            </w:r>
          </w:p>
        </w:tc>
        <w:tc>
          <w:tcPr>
            <w:tcW w:type="pct" w:w="42%"/>
            <w:shd w:fill="1F3864" w:val="clear"/>
            <w:tcMar>
              <w:top w:type="dxa" w:w="80"/>
              <w:left w:type="dxa" w:w="100"/>
              <w:bottom w:type="dxa" w:w="80"/>
              <w:right w:type="dxa" w:w="100"/>
            </w:tcMar>
          </w:tcPr>
          <w:p>
            <w:r>
              <w:rPr>
                <w:b/>
                <w:bCs/>
                <w:color w:val="FFFFFF"/>
                <w:sz w:val="20"/>
                <w:szCs w:val="20"/>
              </w:rPr>
              <w:t xml:space="preserve">Purpose</w:t>
            </w:r>
          </w:p>
        </w:tc>
      </w:tr>
      <w:tr>
        <w:tc>
          <w:tcPr>
            <w:tcW w:type="pct" w:w="26%"/>
            <w:tcMar>
              <w:top w:type="dxa" w:w="80"/>
              <w:left w:type="dxa" w:w="100"/>
              <w:bottom w:type="dxa" w:w="80"/>
              <w:right w:type="dxa" w:w="100"/>
            </w:tcMar>
          </w:tcPr>
          <w:p>
            <w:pPr>
              <w:spacing w:after="0"/>
            </w:pPr>
            <w:r>
              <w:rPr>
                <w:sz w:val="20"/>
                <w:szCs w:val="20"/>
              </w:rPr>
              <w:t xml:space="preserve"/>
            </w:r>
            <w:r>
              <w:rPr>
                <w:i/>
                <w:iCs/>
                <w:color w:val="C00000"/>
                <w:sz w:val="20"/>
                <w:szCs w:val="20"/>
              </w:rPr>
              <w:t xml:space="preserve">[LS_SharePoint]</w:t>
            </w:r>
          </w:p>
        </w:tc>
        <w:tc>
          <w:tcPr>
            <w:tcW w:type="pct" w:w="32%"/>
            <w:tcMar>
              <w:top w:type="dxa" w:w="80"/>
              <w:left w:type="dxa" w:w="100"/>
              <w:bottom w:type="dxa" w:w="80"/>
              <w:right w:type="dxa" w:w="100"/>
            </w:tcMar>
          </w:tcPr>
          <w:p>
            <w:pPr>
              <w:spacing w:after="0"/>
            </w:pPr>
            <w:r>
              <w:rPr>
                <w:sz w:val="20"/>
                <w:szCs w:val="20"/>
              </w:rPr>
              <w:t xml:space="preserve">SharePoint Online List / File</w:t>
            </w:r>
          </w:p>
        </w:tc>
        <w:tc>
          <w:tcPr>
            <w:tcW w:type="pct" w:w="42%"/>
            <w:tcMar>
              <w:top w:type="dxa" w:w="80"/>
              <w:left w:type="dxa" w:w="100"/>
              <w:bottom w:type="dxa" w:w="80"/>
              <w:right w:type="dxa" w:w="100"/>
            </w:tcMar>
          </w:tcPr>
          <w:p>
            <w:pPr>
              <w:spacing w:after="0"/>
            </w:pPr>
            <w:r>
              <w:rPr>
                <w:sz w:val="20"/>
                <w:szCs w:val="20"/>
              </w:rPr>
              <w:t xml:space="preserve">Source connection to read files from SharePoint.</w:t>
            </w:r>
          </w:p>
        </w:tc>
      </w:tr>
      <w:tr>
        <w:tc>
          <w:tcPr>
            <w:tcW w:type="pct" w:w="26%"/>
            <w:shd w:fill="F2F2F2" w:val="clear"/>
            <w:tcMar>
              <w:top w:type="dxa" w:w="80"/>
              <w:left w:type="dxa" w:w="100"/>
              <w:bottom w:type="dxa" w:w="80"/>
              <w:right w:type="dxa" w:w="100"/>
            </w:tcMar>
          </w:tcPr>
          <w:p>
            <w:pPr>
              <w:spacing w:after="0"/>
            </w:pPr>
            <w:r>
              <w:rPr>
                <w:sz w:val="20"/>
                <w:szCs w:val="20"/>
              </w:rPr>
              <w:t xml:space="preserve"/>
            </w:r>
            <w:r>
              <w:rPr>
                <w:i/>
                <w:iCs/>
                <w:color w:val="C00000"/>
                <w:sz w:val="20"/>
                <w:szCs w:val="20"/>
              </w:rPr>
              <w:t xml:space="preserve">[LS_ADLS]</w:t>
            </w:r>
          </w:p>
        </w:tc>
        <w:tc>
          <w:tcPr>
            <w:tcW w:type="pct" w:w="32%"/>
            <w:shd w:fill="F2F2F2" w:val="clear"/>
            <w:tcMar>
              <w:top w:type="dxa" w:w="80"/>
              <w:left w:type="dxa" w:w="100"/>
              <w:bottom w:type="dxa" w:w="80"/>
              <w:right w:type="dxa" w:w="100"/>
            </w:tcMar>
          </w:tcPr>
          <w:p>
            <w:pPr>
              <w:spacing w:after="0"/>
            </w:pPr>
            <w:r>
              <w:rPr>
                <w:sz w:val="20"/>
                <w:szCs w:val="20"/>
              </w:rPr>
              <w:t xml:space="preserve">Azure Data Lake Storage Gen2</w:t>
            </w:r>
          </w:p>
        </w:tc>
        <w:tc>
          <w:tcPr>
            <w:tcW w:type="pct" w:w="42%"/>
            <w:shd w:fill="F2F2F2" w:val="clear"/>
            <w:tcMar>
              <w:top w:type="dxa" w:w="80"/>
              <w:left w:type="dxa" w:w="100"/>
              <w:bottom w:type="dxa" w:w="80"/>
              <w:right w:type="dxa" w:w="100"/>
            </w:tcMar>
          </w:tcPr>
          <w:p>
            <w:pPr>
              <w:spacing w:after="0"/>
            </w:pPr>
            <w:r>
              <w:rPr>
                <w:sz w:val="20"/>
                <w:szCs w:val="20"/>
              </w:rPr>
              <w:t xml:space="preserve">Landing zone for raw copied files.</w:t>
            </w:r>
          </w:p>
        </w:tc>
      </w:tr>
      <w:tr>
        <w:tc>
          <w:tcPr>
            <w:tcW w:type="pct" w:w="26%"/>
            <w:tcMar>
              <w:top w:type="dxa" w:w="80"/>
              <w:left w:type="dxa" w:w="100"/>
              <w:bottom w:type="dxa" w:w="80"/>
              <w:right w:type="dxa" w:w="100"/>
            </w:tcMar>
          </w:tcPr>
          <w:p>
            <w:pPr>
              <w:spacing w:after="0"/>
            </w:pPr>
            <w:r>
              <w:rPr>
                <w:sz w:val="20"/>
                <w:szCs w:val="20"/>
              </w:rPr>
              <w:t xml:space="preserve"/>
            </w:r>
            <w:r>
              <w:rPr>
                <w:i/>
                <w:iCs/>
                <w:color w:val="C00000"/>
                <w:sz w:val="20"/>
                <w:szCs w:val="20"/>
              </w:rPr>
              <w:t xml:space="preserve">[LS_Databricks]</w:t>
            </w:r>
          </w:p>
        </w:tc>
        <w:tc>
          <w:tcPr>
            <w:tcW w:type="pct" w:w="32%"/>
            <w:tcMar>
              <w:top w:type="dxa" w:w="80"/>
              <w:left w:type="dxa" w:w="100"/>
              <w:bottom w:type="dxa" w:w="80"/>
              <w:right w:type="dxa" w:w="100"/>
            </w:tcMar>
          </w:tcPr>
          <w:p>
            <w:pPr>
              <w:spacing w:after="0"/>
            </w:pPr>
            <w:r>
              <w:rPr>
                <w:sz w:val="20"/>
                <w:szCs w:val="20"/>
              </w:rPr>
              <w:t xml:space="preserve">Azure Databricks</w:t>
            </w:r>
          </w:p>
        </w:tc>
        <w:tc>
          <w:tcPr>
            <w:tcW w:type="pct" w:w="42%"/>
            <w:tcMar>
              <w:top w:type="dxa" w:w="80"/>
              <w:left w:type="dxa" w:w="100"/>
              <w:bottom w:type="dxa" w:w="80"/>
              <w:right w:type="dxa" w:w="100"/>
            </w:tcMar>
          </w:tcPr>
          <w:p>
            <w:pPr>
              <w:spacing w:after="0"/>
            </w:pPr>
            <w:r>
              <w:rPr>
                <w:sz w:val="20"/>
                <w:szCs w:val="20"/>
              </w:rPr>
              <w:t xml:space="preserve">Executes Databricks Job activities.</w:t>
            </w:r>
          </w:p>
        </w:tc>
      </w:tr>
      <w:tr>
        <w:tc>
          <w:tcPr>
            <w:tcW w:type="pct" w:w="26%"/>
            <w:shd w:fill="F2F2F2" w:val="clear"/>
            <w:tcMar>
              <w:top w:type="dxa" w:w="80"/>
              <w:left w:type="dxa" w:w="100"/>
              <w:bottom w:type="dxa" w:w="80"/>
              <w:right w:type="dxa" w:w="100"/>
            </w:tcMar>
          </w:tcPr>
          <w:p>
            <w:pPr>
              <w:spacing w:after="0"/>
            </w:pPr>
            <w:r>
              <w:rPr>
                <w:sz w:val="20"/>
                <w:szCs w:val="20"/>
              </w:rPr>
              <w:t xml:space="preserve"/>
            </w:r>
            <w:r>
              <w:rPr>
                <w:i/>
                <w:iCs/>
                <w:color w:val="C00000"/>
                <w:sz w:val="20"/>
                <w:szCs w:val="20"/>
              </w:rPr>
              <w:t xml:space="preserve">[LS_WebActivityEndpoint]</w:t>
            </w:r>
          </w:p>
        </w:tc>
        <w:tc>
          <w:tcPr>
            <w:tcW w:type="pct" w:w="32%"/>
            <w:shd w:fill="F2F2F2" w:val="clear"/>
            <w:tcMar>
              <w:top w:type="dxa" w:w="80"/>
              <w:left w:type="dxa" w:w="100"/>
              <w:bottom w:type="dxa" w:w="80"/>
              <w:right w:type="dxa" w:w="100"/>
            </w:tcMar>
          </w:tcPr>
          <w:p>
            <w:pPr>
              <w:spacing w:after="0"/>
            </w:pPr>
            <w:r>
              <w:rPr>
                <w:sz w:val="20"/>
                <w:szCs w:val="20"/>
              </w:rPr>
              <w:t xml:space="preserve">HTTP / Logic App / Azure Function</w:t>
            </w:r>
          </w:p>
        </w:tc>
        <w:tc>
          <w:tcPr>
            <w:tcW w:type="pct" w:w="42%"/>
            <w:shd w:fill="F2F2F2" w:val="clear"/>
            <w:tcMar>
              <w:top w:type="dxa" w:w="80"/>
              <w:left w:type="dxa" w:w="100"/>
              <w:bottom w:type="dxa" w:w="80"/>
              <w:right w:type="dxa" w:w="100"/>
            </w:tcMar>
          </w:tcPr>
          <w:p>
            <w:pPr>
              <w:spacing w:after="0"/>
            </w:pPr>
            <w:r>
              <w:rPr>
                <w:sz w:val="20"/>
                <w:szCs w:val="20"/>
              </w:rPr>
              <w:t xml:space="preserve">Sends failure notification emails.</w:t>
            </w:r>
          </w:p>
        </w:tc>
      </w:tr>
    </w:tbl>
    <w:p>
      <w:pPr>
        <w:pStyle w:val="Heading1"/>
        <w:spacing w:after="160" w:before="360"/>
      </w:pPr>
      <w:r>
        <w:rPr>
          <w:b/>
          <w:bCs/>
          <w:color w:val="1F3864"/>
          <w:sz w:val="28"/>
          <w:szCs w:val="28"/>
        </w:rPr>
        <w:t xml:space="preserve">8. Error Handling &amp; Alerting</w:t>
      </w:r>
    </w:p>
    <w:p>
      <w:pPr>
        <w:spacing w:after="160" w:line="276"/>
      </w:pPr>
      <w:r>
        <w:rPr>
          <w:sz w:val="22"/>
          <w:szCs w:val="22"/>
        </w:rPr>
        <w:t xml:space="preserve">Error handling follows a uniform pattern applied consistently to every Lookup and Databricks Job activity in the pipeline:</w:t>
      </w:r>
    </w:p>
    <w:p>
      <w:pPr>
        <w:pStyle w:val="ListParagraph"/>
        <w:numPr>
          <w:ilvl w:val="0"/>
          <w:numId w:val="1"/>
        </w:numPr>
        <w:spacing w:after="100"/>
      </w:pPr>
      <w:r>
        <w:rPr>
          <w:b/>
          <w:bCs/>
          <w:sz w:val="22"/>
          <w:szCs w:val="22"/>
        </w:rPr>
        <w:t xml:space="preserve">On Failure dependency: </w:t>
      </w:r>
      <w:r>
        <w:rPr>
          <w:sz w:val="22"/>
          <w:szCs w:val="22"/>
        </w:rPr>
        <w:t xml:space="preserve">Each Lookup and Databricks Job activity is connected via an 'On Failure' path to a Web Activity.</w:t>
      </w:r>
    </w:p>
    <w:p>
      <w:pPr>
        <w:pStyle w:val="ListParagraph"/>
        <w:numPr>
          <w:ilvl w:val="0"/>
          <w:numId w:val="1"/>
        </w:numPr>
        <w:spacing w:after="100"/>
      </w:pPr>
      <w:r>
        <w:rPr>
          <w:b/>
          <w:bCs/>
          <w:sz w:val="22"/>
          <w:szCs w:val="22"/>
        </w:rPr>
        <w:t xml:space="preserve">Web Activity: </w:t>
      </w:r>
      <w:r>
        <w:rPr>
          <w:sz w:val="22"/>
          <w:szCs w:val="22"/>
        </w:rPr>
        <w:t xml:space="preserve">Calls a notification endpoint and sends a failure email to the address(es) defined in the FailureEmailRecipient parameter, including activity name and error details.</w:t>
      </w:r>
    </w:p>
    <w:p>
      <w:pPr>
        <w:pStyle w:val="ListParagraph"/>
        <w:numPr>
          <w:ilvl w:val="0"/>
          <w:numId w:val="1"/>
        </w:numPr>
        <w:spacing w:after="100"/>
      </w:pPr>
      <w:r>
        <w:rPr>
          <w:b/>
          <w:bCs/>
          <w:sz w:val="22"/>
          <w:szCs w:val="22"/>
        </w:rPr>
        <w:t xml:space="preserve">Fail Activity: </w:t>
      </w:r>
      <w:r>
        <w:rPr>
          <w:sz w:val="22"/>
          <w:szCs w:val="22"/>
        </w:rPr>
        <w:t xml:space="preserve">Runs after the Web Activity and explicitly fails the pipeline run, ensuring accurate status reporting in ADF monitoring and any downstream alerting/SLA tracking.</w:t>
      </w:r>
    </w:p>
    <w:p>
      <w:pPr>
        <w:spacing w:after="120"/>
      </w:pPr>
    </w:p>
    <w:p>
      <w:pPr>
        <w:pStyle w:val="Heading2"/>
        <w:spacing w:after="120" w:before="280"/>
      </w:pPr>
      <w:r>
        <w:rPr>
          <w:b/>
          <w:bCs/>
          <w:color w:val="2E75B6"/>
          <w:sz w:val="24"/>
          <w:szCs w:val="24"/>
        </w:rPr>
        <w:t xml:space="preserve">8.1 Open Items for Error Handling</w:t>
      </w:r>
    </w:p>
    <w:p>
      <w:pPr>
        <w:pStyle w:val="ListParagraph"/>
        <w:numPr>
          <w:ilvl w:val="0"/>
          <w:numId w:val="1"/>
        </w:numPr>
        <w:spacing w:after="100"/>
      </w:pPr>
      <w:r>
        <w:rPr>
          <w:sz w:val="22"/>
          <w:szCs w:val="22"/>
        </w:rPr>
        <w:t xml:space="preserve">Confirm retry policy (count / interval) on Lookup and Databricks Job activities, if any, prior to invoking the failure path.</w:t>
      </w:r>
    </w:p>
    <w:p>
      <w:pPr>
        <w:pStyle w:val="ListParagraph"/>
        <w:numPr>
          <w:ilvl w:val="0"/>
          <w:numId w:val="1"/>
        </w:numPr>
        <w:spacing w:after="100"/>
      </w:pPr>
      <w:r>
        <w:rPr>
          <w:sz w:val="22"/>
          <w:szCs w:val="22"/>
        </w:rPr>
        <w:t xml:space="preserve">Confirm whether partial failure within Job 2 (e.g., 1 of 6 parallel notebooks fails) fails the entire Databricks Job or only that task.</w:t>
      </w:r>
    </w:p>
    <w:p>
      <w:pPr>
        <w:pStyle w:val="ListParagraph"/>
        <w:numPr>
          <w:ilvl w:val="0"/>
          <w:numId w:val="1"/>
        </w:numPr>
        <w:spacing w:after="100"/>
      </w:pPr>
      <w:r>
        <w:rPr>
          <w:sz w:val="22"/>
          <w:szCs w:val="22"/>
        </w:rPr>
        <w:t xml:space="preserve">Confirm the Web Activity failure-notification endpoint (Logic App / Function App / SMTP relay) and payload schema.</w:t>
      </w:r>
    </w:p>
    <w:p>
      <w:pPr>
        <w:pStyle w:val="Heading1"/>
        <w:spacing w:after="160" w:before="360"/>
      </w:pPr>
      <w:r>
        <w:rPr>
          <w:b/>
          <w:bCs/>
          <w:color w:val="1F3864"/>
          <w:sz w:val="28"/>
          <w:szCs w:val="28"/>
        </w:rPr>
        <w:t xml:space="preserve">9. Source &amp; Target Systems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980"/>
        <w:gridCol w:w="2700"/>
        <w:gridCol w:w="4320"/>
      </w:tblGrid>
      <w:tr>
        <w:trPr>
          <w:tblHeader/>
        </w:trPr>
        <w:tc>
          <w:tcPr>
            <w:tcW w:type="pct" w:w="22%"/>
            <w:shd w:fill="1F3864" w:val="clear"/>
            <w:tcMar>
              <w:top w:type="dxa" w:w="80"/>
              <w:left w:type="dxa" w:w="100"/>
              <w:bottom w:type="dxa" w:w="80"/>
              <w:right w:type="dxa" w:w="100"/>
            </w:tcMar>
          </w:tcPr>
          <w:p>
            <w:r>
              <w:rPr>
                <w:b/>
                <w:bCs/>
                <w:color w:val="FFFFFF"/>
                <w:sz w:val="20"/>
                <w:szCs w:val="20"/>
              </w:rPr>
              <w:t xml:space="preserve">Layer</w:t>
            </w:r>
          </w:p>
        </w:tc>
        <w:tc>
          <w:tcPr>
            <w:tcW w:type="pct" w:w="30%"/>
            <w:shd w:fill="1F3864" w:val="clear"/>
            <w:tcMar>
              <w:top w:type="dxa" w:w="80"/>
              <w:left w:type="dxa" w:w="100"/>
              <w:bottom w:type="dxa" w:w="80"/>
              <w:right w:type="dxa" w:w="100"/>
            </w:tcMar>
          </w:tcPr>
          <w:p>
            <w:r>
              <w:rPr>
                <w:b/>
                <w:bCs/>
                <w:color w:val="FFFFFF"/>
                <w:sz w:val="20"/>
                <w:szCs w:val="20"/>
              </w:rPr>
              <w:t xml:space="preserve">System</w:t>
            </w:r>
          </w:p>
        </w:tc>
        <w:tc>
          <w:tcPr>
            <w:tcW w:type="pct" w:w="48%"/>
            <w:shd w:fill="1F3864" w:val="clear"/>
            <w:tcMar>
              <w:top w:type="dxa" w:w="80"/>
              <w:left w:type="dxa" w:w="100"/>
              <w:bottom w:type="dxa" w:w="80"/>
              <w:right w:type="dxa" w:w="100"/>
            </w:tcMar>
          </w:tcPr>
          <w:p>
            <w:r>
              <w:rPr>
                <w:b/>
                <w:bCs/>
                <w:color w:val="FFFFFF"/>
                <w:sz w:val="20"/>
                <w:szCs w:val="20"/>
              </w:rPr>
              <w:t xml:space="preserve">Description</w:t>
            </w:r>
          </w:p>
        </w:tc>
      </w:tr>
      <w:tr>
        <w:tc>
          <w:tcPr>
            <w:tcW w:type="pct" w:w="22%"/>
            <w:tcMar>
              <w:top w:type="dxa" w:w="80"/>
              <w:left w:type="dxa" w:w="100"/>
              <w:bottom w:type="dxa" w:w="80"/>
              <w:right w:type="dxa" w:w="100"/>
            </w:tcMar>
          </w:tcPr>
          <w:p>
            <w:pPr>
              <w:spacing w:after="0"/>
            </w:pPr>
            <w:r>
              <w:rPr>
                <w:sz w:val="20"/>
                <w:szCs w:val="20"/>
              </w:rPr>
              <w:t xml:space="preserve">Source</w:t>
            </w:r>
          </w:p>
        </w:tc>
        <w:tc>
          <w:tcPr>
            <w:tcW w:type="pct" w:w="30%"/>
            <w:tcMar>
              <w:top w:type="dxa" w:w="80"/>
              <w:left w:type="dxa" w:w="100"/>
              <w:bottom w:type="dxa" w:w="80"/>
              <w:right w:type="dxa" w:w="100"/>
            </w:tcMar>
          </w:tcPr>
          <w:p>
            <w:pPr>
              <w:spacing w:after="0"/>
            </w:pPr>
            <w:r>
              <w:rPr>
                <w:sz w:val="20"/>
                <w:szCs w:val="20"/>
              </w:rPr>
              <w:t xml:space="preserve">SharePoint</w:t>
            </w:r>
          </w:p>
        </w:tc>
        <w:tc>
          <w:tcPr>
            <w:tcW w:type="pct" w:w="48%"/>
            <w:tcMar>
              <w:top w:type="dxa" w:w="80"/>
              <w:left w:type="dxa" w:w="100"/>
              <w:bottom w:type="dxa" w:w="80"/>
              <w:right w:type="dxa" w:w="100"/>
            </w:tcMar>
          </w:tcPr>
          <w:p>
            <w:pPr>
              <w:spacing w:after="0"/>
            </w:pPr>
            <w:r>
              <w:rPr>
                <w:sz w:val="20"/>
                <w:szCs w:val="20"/>
              </w:rPr>
              <w:t xml:space="preserve">Hosts the 6 source data files updated by business users prior to each weekly run.</w:t>
            </w:r>
          </w:p>
        </w:tc>
      </w:tr>
      <w:tr>
        <w:tc>
          <w:tcPr>
            <w:tcW w:type="pct" w:w="22%"/>
            <w:shd w:fill="F2F2F2" w:val="clear"/>
            <w:tcMar>
              <w:top w:type="dxa" w:w="80"/>
              <w:left w:type="dxa" w:w="100"/>
              <w:bottom w:type="dxa" w:w="80"/>
              <w:right w:type="dxa" w:w="100"/>
            </w:tcMar>
          </w:tcPr>
          <w:p>
            <w:pPr>
              <w:spacing w:after="0"/>
            </w:pPr>
            <w:r>
              <w:rPr>
                <w:sz w:val="20"/>
                <w:szCs w:val="20"/>
              </w:rPr>
              <w:t xml:space="preserve">Intermediate Target</w:t>
            </w:r>
          </w:p>
        </w:tc>
        <w:tc>
          <w:tcPr>
            <w:tcW w:type="pct" w:w="30%"/>
            <w:shd w:fill="F2F2F2" w:val="clear"/>
            <w:tcMar>
              <w:top w:type="dxa" w:w="80"/>
              <w:left w:type="dxa" w:w="100"/>
              <w:bottom w:type="dxa" w:w="80"/>
              <w:right w:type="dxa" w:w="100"/>
            </w:tcMar>
          </w:tcPr>
          <w:p>
            <w:pPr>
              <w:spacing w:after="0"/>
            </w:pPr>
            <w:r>
              <w:rPr>
                <w:sz w:val="20"/>
                <w:szCs w:val="20"/>
              </w:rPr>
              <w:t xml:space="preserve">Unity Catalog — Bronze Tables</w:t>
            </w:r>
          </w:p>
        </w:tc>
        <w:tc>
          <w:tcPr>
            <w:tcW w:type="pct" w:w="48%"/>
            <w:shd w:fill="F2F2F2" w:val="clear"/>
            <w:tcMar>
              <w:top w:type="dxa" w:w="80"/>
              <w:left w:type="dxa" w:w="100"/>
              <w:bottom w:type="dxa" w:w="80"/>
              <w:right w:type="dxa" w:w="100"/>
            </w:tcMar>
          </w:tcPr>
          <w:p>
            <w:pPr>
              <w:spacing w:after="0"/>
            </w:pPr>
            <w:r>
              <w:rPr>
                <w:sz w:val="20"/>
                <w:szCs w:val="20"/>
              </w:rPr>
              <w:t xml:space="preserve">6 Bronze Delta tables (one per source), loaded via Databricks Autoloader.</w:t>
            </w:r>
          </w:p>
        </w:tc>
      </w:tr>
      <w:tr>
        <w:tc>
          <w:tcPr>
            <w:tcW w:type="pct" w:w="22%"/>
            <w:tcMar>
              <w:top w:type="dxa" w:w="80"/>
              <w:left w:type="dxa" w:w="100"/>
              <w:bottom w:type="dxa" w:w="80"/>
              <w:right w:type="dxa" w:w="100"/>
            </w:tcMar>
          </w:tcPr>
          <w:p>
            <w:pPr>
              <w:spacing w:after="0"/>
            </w:pPr>
            <w:r>
              <w:rPr>
                <w:sz w:val="20"/>
                <w:szCs w:val="20"/>
              </w:rPr>
              <w:t xml:space="preserve">Final Target</w:t>
            </w:r>
          </w:p>
        </w:tc>
        <w:tc>
          <w:tcPr>
            <w:tcW w:type="pct" w:w="30%"/>
            <w:tcMar>
              <w:top w:type="dxa" w:w="80"/>
              <w:left w:type="dxa" w:w="100"/>
              <w:bottom w:type="dxa" w:w="80"/>
              <w:right w:type="dxa" w:w="100"/>
            </w:tcMar>
          </w:tcPr>
          <w:p>
            <w:pPr>
              <w:spacing w:after="0"/>
            </w:pPr>
            <w:r>
              <w:rPr>
                <w:sz w:val="20"/>
                <w:szCs w:val="20"/>
              </w:rPr>
              <w:t xml:space="preserve">Microsoft Fabric — Delta Tables</w:t>
            </w:r>
          </w:p>
        </w:tc>
        <w:tc>
          <w:tcPr>
            <w:tcW w:type="pct" w:w="48%"/>
            <w:tcMar>
              <w:top w:type="dxa" w:w="80"/>
              <w:left w:type="dxa" w:w="100"/>
              <w:bottom w:type="dxa" w:w="80"/>
              <w:right w:type="dxa" w:w="100"/>
            </w:tcMar>
          </w:tcPr>
          <w:p>
            <w:pPr>
              <w:spacing w:after="0"/>
            </w:pPr>
            <w:r>
              <w:rPr>
                <w:sz w:val="20"/>
                <w:szCs w:val="20"/>
              </w:rPr>
              <w:t xml:space="preserve">Curated Delta table(s) loaded/overwritten from Bronze, consumed by Power BI reports.</w:t>
            </w:r>
          </w:p>
        </w:tc>
      </w:tr>
    </w:tbl>
    <w:p>
      <w:pPr>
        <w:pStyle w:val="Heading1"/>
        <w:spacing w:after="160" w:before="360"/>
      </w:pPr>
      <w:r>
        <w:rPr>
          <w:b/>
          <w:bCs/>
          <w:color w:val="1F3864"/>
          <w:sz w:val="28"/>
          <w:szCs w:val="28"/>
        </w:rPr>
        <w:t xml:space="preserve">10. Assumptions &amp; Dependencies</w:t>
      </w:r>
    </w:p>
    <w:p>
      <w:pPr>
        <w:pStyle w:val="ListParagraph"/>
        <w:numPr>
          <w:ilvl w:val="0"/>
          <w:numId w:val="1"/>
        </w:numPr>
        <w:spacing w:after="100"/>
      </w:pPr>
      <w:r>
        <w:rPr>
          <w:sz w:val="22"/>
          <w:szCs w:val="22"/>
        </w:rPr>
        <w:t xml:space="preserve">All 6 source files are expected to be present and correctly named in SharePoint prior to the Tuesday 5 PM PST trigger.</w:t>
      </w:r>
    </w:p>
    <w:p>
      <w:pPr>
        <w:pStyle w:val="ListParagraph"/>
        <w:numPr>
          <w:ilvl w:val="0"/>
          <w:numId w:val="1"/>
        </w:numPr>
        <w:spacing w:after="100"/>
      </w:pPr>
      <w:r>
        <w:rPr>
          <w:sz w:val="22"/>
          <w:szCs w:val="22"/>
        </w:rPr>
        <w:t xml:space="preserve">Databricks Job IDs are static/known and retrievable via the Lookup activity (e.g., from a config file, database, or Key Vault).</w:t>
      </w:r>
    </w:p>
    <w:p>
      <w:pPr>
        <w:pStyle w:val="ListParagraph"/>
        <w:numPr>
          <w:ilvl w:val="0"/>
          <w:numId w:val="1"/>
        </w:numPr>
        <w:spacing w:after="100"/>
      </w:pPr>
      <w:r>
        <w:rPr>
          <w:i/>
          <w:iCs/>
          <w:color w:val="C00000"/>
          <w:sz w:val="22"/>
          <w:szCs w:val="22"/>
        </w:rPr>
        <w:t xml:space="preserve">[Additional assumption placeholder]</w:t>
      </w:r>
    </w:p>
    <w:p>
      <w:pPr>
        <w:pStyle w:val="ListParagraph"/>
        <w:numPr>
          <w:ilvl w:val="0"/>
          <w:numId w:val="1"/>
        </w:numPr>
        <w:spacing w:after="100"/>
      </w:pPr>
      <w:r>
        <w:rPr>
          <w:i/>
          <w:iCs/>
          <w:color w:val="C00000"/>
          <w:sz w:val="22"/>
          <w:szCs w:val="22"/>
        </w:rPr>
        <w:t xml:space="preserve">[Additional dependency placeholder]</w:t>
      </w:r>
    </w:p>
    <w:p>
      <w:pPr>
        <w:pStyle w:val="Heading1"/>
        <w:spacing w:after="160" w:before="360"/>
      </w:pPr>
      <w:r>
        <w:rPr>
          <w:b/>
          <w:bCs/>
          <w:color w:val="1F3864"/>
          <w:sz w:val="28"/>
          <w:szCs w:val="28"/>
        </w:rPr>
        <w:t xml:space="preserve">11. Appendix</w:t>
      </w:r>
    </w:p>
    <w:p>
      <w:pPr>
        <w:pStyle w:val="Heading2"/>
        <w:spacing w:after="120" w:before="280"/>
      </w:pPr>
      <w:r>
        <w:rPr>
          <w:b/>
          <w:bCs/>
          <w:color w:val="2E75B6"/>
          <w:sz w:val="24"/>
          <w:szCs w:val="24"/>
        </w:rPr>
        <w:t xml:space="preserve">11.1 Glossary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160"/>
        <w:gridCol w:w="6840"/>
      </w:tblGrid>
      <w:tr>
        <w:trPr>
          <w:tblHeader/>
        </w:trPr>
        <w:tc>
          <w:tcPr>
            <w:tcW w:type="pct" w:w="24%"/>
            <w:shd w:fill="1F3864" w:val="clear"/>
            <w:tcMar>
              <w:top w:type="dxa" w:w="80"/>
              <w:left w:type="dxa" w:w="100"/>
              <w:bottom w:type="dxa" w:w="80"/>
              <w:right w:type="dxa" w:w="100"/>
            </w:tcMar>
          </w:tcPr>
          <w:p>
            <w:r>
              <w:rPr>
                <w:b/>
                <w:bCs/>
                <w:color w:val="FFFFFF"/>
                <w:sz w:val="20"/>
                <w:szCs w:val="20"/>
              </w:rPr>
              <w:t xml:space="preserve">Term</w:t>
            </w:r>
          </w:p>
        </w:tc>
        <w:tc>
          <w:tcPr>
            <w:tcW w:type="pct" w:w="76%"/>
            <w:shd w:fill="1F3864" w:val="clear"/>
            <w:tcMar>
              <w:top w:type="dxa" w:w="80"/>
              <w:left w:type="dxa" w:w="100"/>
              <w:bottom w:type="dxa" w:w="80"/>
              <w:right w:type="dxa" w:w="100"/>
            </w:tcMar>
          </w:tcPr>
          <w:p>
            <w:r>
              <w:rPr>
                <w:b/>
                <w:bCs/>
                <w:color w:val="FFFFFF"/>
                <w:sz w:val="20"/>
                <w:szCs w:val="20"/>
              </w:rPr>
              <w:t xml:space="preserve">Definition</w:t>
            </w:r>
          </w:p>
        </w:tc>
      </w:tr>
      <w:tr>
        <w:tc>
          <w:tcPr>
            <w:tcW w:type="pct" w:w="24%"/>
            <w:tcMar>
              <w:top w:type="dxa" w:w="80"/>
              <w:left w:type="dxa" w:w="100"/>
              <w:bottom w:type="dxa" w:w="80"/>
              <w:right w:type="dxa" w:w="100"/>
            </w:tcMar>
          </w:tcPr>
          <w:p>
            <w:pPr>
              <w:spacing w:after="0"/>
            </w:pPr>
            <w:r>
              <w:rPr>
                <w:sz w:val="20"/>
                <w:szCs w:val="20"/>
              </w:rPr>
              <w:t xml:space="preserve">ADF</w:t>
            </w:r>
          </w:p>
        </w:tc>
        <w:tc>
          <w:tcPr>
            <w:tcW w:type="pct" w:w="76%"/>
            <w:tcMar>
              <w:top w:type="dxa" w:w="80"/>
              <w:left w:type="dxa" w:w="100"/>
              <w:bottom w:type="dxa" w:w="80"/>
              <w:right w:type="dxa" w:w="100"/>
            </w:tcMar>
          </w:tcPr>
          <w:p>
            <w:pPr>
              <w:spacing w:after="0"/>
            </w:pPr>
            <w:r>
              <w:rPr>
                <w:sz w:val="20"/>
                <w:szCs w:val="20"/>
              </w:rPr>
              <w:t xml:space="preserve">Azure Data Factory</w:t>
            </w:r>
          </w:p>
        </w:tc>
      </w:tr>
      <w:tr>
        <w:tc>
          <w:tcPr>
            <w:tcW w:type="pct" w:w="24%"/>
            <w:shd w:fill="F2F2F2" w:val="clear"/>
            <w:tcMar>
              <w:top w:type="dxa" w:w="80"/>
              <w:left w:type="dxa" w:w="100"/>
              <w:bottom w:type="dxa" w:w="80"/>
              <w:right w:type="dxa" w:w="100"/>
            </w:tcMar>
          </w:tcPr>
          <w:p>
            <w:pPr>
              <w:spacing w:after="0"/>
            </w:pPr>
            <w:r>
              <w:rPr>
                <w:sz w:val="20"/>
                <w:szCs w:val="20"/>
              </w:rPr>
              <w:t xml:space="preserve">Autoloader</w:t>
            </w:r>
          </w:p>
        </w:tc>
        <w:tc>
          <w:tcPr>
            <w:tcW w:type="pct" w:w="76%"/>
            <w:shd w:fill="F2F2F2" w:val="clear"/>
            <w:tcMar>
              <w:top w:type="dxa" w:w="80"/>
              <w:left w:type="dxa" w:w="100"/>
              <w:bottom w:type="dxa" w:w="80"/>
              <w:right w:type="dxa" w:w="100"/>
            </w:tcMar>
          </w:tcPr>
          <w:p>
            <w:pPr>
              <w:spacing w:after="0"/>
            </w:pPr>
            <w:r>
              <w:rPr>
                <w:sz w:val="20"/>
                <w:szCs w:val="20"/>
              </w:rPr>
              <w:t xml:space="preserve">Databricks feature for incrementally and efficiently processing new data files as they arrive in cloud storage.</w:t>
            </w:r>
          </w:p>
        </w:tc>
      </w:tr>
      <w:tr>
        <w:tc>
          <w:tcPr>
            <w:tcW w:type="pct" w:w="24%"/>
            <w:tcMar>
              <w:top w:type="dxa" w:w="80"/>
              <w:left w:type="dxa" w:w="100"/>
              <w:bottom w:type="dxa" w:w="80"/>
              <w:right w:type="dxa" w:w="100"/>
            </w:tcMar>
          </w:tcPr>
          <w:p>
            <w:pPr>
              <w:spacing w:after="0"/>
            </w:pPr>
            <w:r>
              <w:rPr>
                <w:sz w:val="20"/>
                <w:szCs w:val="20"/>
              </w:rPr>
              <w:t xml:space="preserve">Unity Catalog</w:t>
            </w:r>
          </w:p>
        </w:tc>
        <w:tc>
          <w:tcPr>
            <w:tcW w:type="pct" w:w="76%"/>
            <w:tcMar>
              <w:top w:type="dxa" w:w="80"/>
              <w:left w:type="dxa" w:w="100"/>
              <w:bottom w:type="dxa" w:w="80"/>
              <w:right w:type="dxa" w:w="100"/>
            </w:tcMar>
          </w:tcPr>
          <w:p>
            <w:pPr>
              <w:spacing w:after="0"/>
            </w:pPr>
            <w:r>
              <w:rPr>
                <w:sz w:val="20"/>
                <w:szCs w:val="20"/>
              </w:rPr>
              <w:t xml:space="preserve">Databricks' unified governance solution for data and AI assets.</w:t>
            </w:r>
          </w:p>
        </w:tc>
      </w:tr>
      <w:tr>
        <w:tc>
          <w:tcPr>
            <w:tcW w:type="pct" w:w="24%"/>
            <w:shd w:fill="F2F2F2" w:val="clear"/>
            <w:tcMar>
              <w:top w:type="dxa" w:w="80"/>
              <w:left w:type="dxa" w:w="100"/>
              <w:bottom w:type="dxa" w:w="80"/>
              <w:right w:type="dxa" w:w="100"/>
            </w:tcMar>
          </w:tcPr>
          <w:p>
            <w:pPr>
              <w:spacing w:after="0"/>
            </w:pPr>
            <w:r>
              <w:rPr>
                <w:sz w:val="20"/>
                <w:szCs w:val="20"/>
              </w:rPr>
              <w:t xml:space="preserve">Bronze Table</w:t>
            </w:r>
          </w:p>
        </w:tc>
        <w:tc>
          <w:tcPr>
            <w:tcW w:type="pct" w:w="76%"/>
            <w:shd w:fill="F2F2F2" w:val="clear"/>
            <w:tcMar>
              <w:top w:type="dxa" w:w="80"/>
              <w:left w:type="dxa" w:w="100"/>
              <w:bottom w:type="dxa" w:w="80"/>
              <w:right w:type="dxa" w:w="100"/>
            </w:tcMar>
          </w:tcPr>
          <w:p>
            <w:pPr>
              <w:spacing w:after="0"/>
            </w:pPr>
            <w:r>
              <w:rPr>
                <w:sz w:val="20"/>
                <w:szCs w:val="20"/>
              </w:rPr>
              <w:t xml:space="preserve">Raw/ingested layer in the medallion architecture, minimal transformation applied.</w:t>
            </w:r>
          </w:p>
        </w:tc>
      </w:tr>
      <w:tr>
        <w:tc>
          <w:tcPr>
            <w:tcW w:type="pct" w:w="24%"/>
            <w:tcMar>
              <w:top w:type="dxa" w:w="80"/>
              <w:left w:type="dxa" w:w="100"/>
              <w:bottom w:type="dxa" w:w="80"/>
              <w:right w:type="dxa" w:w="100"/>
            </w:tcMar>
          </w:tcPr>
          <w:p>
            <w:pPr>
              <w:spacing w:after="0"/>
            </w:pPr>
            <w:r>
              <w:rPr>
                <w:sz w:val="20"/>
                <w:szCs w:val="20"/>
              </w:rPr>
              <w:t xml:space="preserve">Fabric</w:t>
            </w:r>
          </w:p>
        </w:tc>
        <w:tc>
          <w:tcPr>
            <w:tcW w:type="pct" w:w="76%"/>
            <w:tcMar>
              <w:top w:type="dxa" w:w="80"/>
              <w:left w:type="dxa" w:w="100"/>
              <w:bottom w:type="dxa" w:w="80"/>
              <w:right w:type="dxa" w:w="100"/>
            </w:tcMar>
          </w:tcPr>
          <w:p>
            <w:pPr>
              <w:spacing w:after="0"/>
            </w:pPr>
            <w:r>
              <w:rPr>
                <w:sz w:val="20"/>
                <w:szCs w:val="20"/>
              </w:rPr>
              <w:t xml:space="preserve">Microsoft Fabric — unified analytics platform hosting Delta tables consumed by Power BI.</w:t>
            </w:r>
          </w:p>
        </w:tc>
      </w:tr>
    </w:tbl>
    <w:p>
      <w:pPr>
        <w:spacing w:after="160"/>
      </w:pPr>
    </w:p>
    <w:p>
      <w:pPr>
        <w:pStyle w:val="Heading2"/>
        <w:spacing w:after="120" w:before="280"/>
      </w:pPr>
      <w:r>
        <w:rPr>
          <w:b/>
          <w:bCs/>
          <w:color w:val="2E75B6"/>
          <w:sz w:val="24"/>
          <w:szCs w:val="24"/>
        </w:rPr>
        <w:t xml:space="preserve">11.2 Revision Notes</w:t>
      </w:r>
    </w:p>
    <w:p>
      <w:pPr>
        <w:pStyle w:val="ListParagraph"/>
        <w:numPr>
          <w:ilvl w:val="0"/>
          <w:numId w:val="1"/>
        </w:numPr>
        <w:spacing w:after="100"/>
      </w:pPr>
      <w:r>
        <w:rPr>
          <w:i/>
          <w:iCs/>
          <w:color w:val="C00000"/>
          <w:sz w:val="22"/>
          <w:szCs w:val="22"/>
        </w:rPr>
        <w:t xml:space="preserve">[Placeholder for future revision notes as the design evolves.]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95959"/>
        <w:sz w:val="16"/>
        <w:szCs w:val="16"/>
      </w:rPr>
      <w:t xml:space="preserve">Page </w:t>
    </w:r>
    <w:r>
      <w:rPr>
        <w:color w:val="595959"/>
        <w:sz w:val="16"/>
        <w:szCs w:val="16"/>
      </w:rPr>
      <w:fldChar w:fldCharType="begin"/>
      <w:instrText xml:space="preserve">PAGE</w:instrText>
      <w:fldChar w:fldCharType="separate"/>
      <w:fldChar w:fldCharType="end"/>
    </w:r>
    <w:r>
      <w:rPr>
        <w:color w:val="595959"/>
        <w:sz w:val="16"/>
        <w:szCs w:val="16"/>
      </w:rPr>
      <w:t xml:space="preserve"> of </w:t>
    </w:r>
    <w:r>
      <w:rPr>
        <w:color w:val="59595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595959"/>
        <w:sz w:val="16"/>
        <w:szCs w:val="16"/>
      </w:rPr>
      <w:t xml:space="preserve">[Pipeline Name] — Technical Design Document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50" w:hanging="300"/>
      </w:pPr>
    </w:lvl>
  </w:abstractNum>
  <w:abstractNum w:abstractNumId="3" w15:restartNumberingAfterBreak="0">
    <w:multiLevelType w:val="hybridMultilevel"/>
    <w:lvl w:ilvl="0" w15:tentative="1">
      <w:start w:val="1"/>
      <w:numFmt w:val="decimal"/>
      <w:lvlText w:val="%1."/>
      <w:lvlJc w:val="start"/>
      <w:pPr>
        <w:ind w:left="45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2026-09-08T10:40:12.024Z</dcterms:created>
  <dcterms:modified xsi:type="dcterms:W3CDTF">2026-09-08T10:40:12.024Z</dcterms:modified>
</cp:coreProperties>
</file>

<file path=docProps/custom.xml><?xml version="1.0" encoding="utf-8"?>
<Properties xmlns="http://schemas.openxmlformats.org/officeDocument/2006/custom-properties" xmlns:vt="http://schemas.openxmlformats.org/officeDocument/2006/docPropsVTypes"/>
</file>